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line="261" w:lineRule="auto"/>
      </w:pPr>
    </w:p>
    <w:p>
      <w:pPr>
        <w:pStyle w:val="3"/>
        <w:spacing w:line="261" w:lineRule="auto"/>
      </w:pPr>
    </w:p>
    <w:p>
      <w:pPr>
        <w:pStyle w:val="3"/>
        <w:spacing w:line="261" w:lineRule="auto"/>
      </w:pPr>
    </w:p>
    <w:p>
      <w:pPr>
        <w:pStyle w:val="3"/>
        <w:spacing w:line="261" w:lineRule="auto"/>
      </w:pPr>
    </w:p>
    <w:p>
      <w:pPr>
        <w:pStyle w:val="3"/>
        <w:spacing w:line="261" w:lineRule="auto"/>
      </w:pPr>
    </w:p>
    <w:p>
      <w:pPr>
        <w:pStyle w:val="3"/>
        <w:spacing w:line="262" w:lineRule="auto"/>
      </w:pPr>
    </w:p>
    <w:p>
      <w:pPr>
        <w:pStyle w:val="3"/>
        <w:spacing w:line="262" w:lineRule="auto"/>
      </w:pPr>
    </w:p>
    <w:p>
      <w:pPr>
        <w:pStyle w:val="3"/>
        <w:spacing w:line="262" w:lineRule="auto"/>
      </w:pPr>
    </w:p>
    <w:p>
      <w:pPr>
        <w:pStyle w:val="3"/>
        <w:spacing w:line="262" w:lineRule="auto"/>
      </w:pPr>
    </w:p>
    <w:p>
      <w:pPr>
        <w:spacing w:before="140" w:line="218" w:lineRule="auto"/>
        <w:ind w:left="337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2023年度</w:t>
      </w:r>
    </w:p>
    <w:p>
      <w:pPr>
        <w:spacing w:before="87" w:line="221" w:lineRule="auto"/>
        <w:ind w:left="11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锡林郭勒盟审计局综合保障中心</w:t>
      </w:r>
    </w:p>
    <w:p>
      <w:pPr>
        <w:spacing w:before="90" w:line="218" w:lineRule="auto"/>
        <w:ind w:left="337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预算公开</w:t>
      </w:r>
    </w:p>
    <w:p>
      <w:pPr>
        <w:pStyle w:val="3"/>
        <w:spacing w:line="246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spacing w:before="101" w:line="343" w:lineRule="auto"/>
        <w:ind w:left="2236" w:right="2088" w:firstLine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批复时间：</w:t>
      </w:r>
      <w:r>
        <w:rPr>
          <w:rFonts w:ascii="黑体" w:hAnsi="黑体" w:eastAsia="黑体" w:cs="黑体"/>
          <w:spacing w:val="6"/>
          <w:sz w:val="31"/>
          <w:szCs w:val="31"/>
          <w:u w:val="single" w:color="auto"/>
        </w:rPr>
        <w:t>2023年 4月 24日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公开时间：</w:t>
      </w:r>
      <w:r>
        <w:rPr>
          <w:rFonts w:ascii="黑体" w:hAnsi="黑体" w:eastAsia="黑体" w:cs="黑体"/>
          <w:spacing w:val="4"/>
          <w:sz w:val="31"/>
          <w:szCs w:val="31"/>
          <w:u w:val="single" w:color="auto"/>
        </w:rPr>
        <w:t>2023年 5月</w:t>
      </w:r>
      <w:r>
        <w:rPr>
          <w:rFonts w:ascii="黑体" w:hAnsi="黑体" w:eastAsia="黑体" w:cs="黑体"/>
          <w:spacing w:val="4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  <w:u w:val="single" w:color="auto"/>
        </w:rPr>
        <w:t>10日</w:t>
      </w:r>
    </w:p>
    <w:p>
      <w:pPr>
        <w:spacing w:line="343" w:lineRule="auto"/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before="274" w:line="178" w:lineRule="auto"/>
        <w:ind w:left="3633"/>
        <w:outlineLvl w:val="0"/>
        <w:rPr>
          <w:rFonts w:ascii="Microsoft JhengHei" w:hAnsi="Microsoft JhengHei" w:eastAsia="Microsoft JhengHei" w:cs="Microsoft JhengHei"/>
          <w:sz w:val="43"/>
          <w:szCs w:val="43"/>
        </w:rPr>
      </w:pPr>
      <w:r>
        <w:rPr>
          <w:rFonts w:ascii="Microsoft JhengHei" w:hAnsi="Microsoft JhengHei" w:eastAsia="Microsoft JhengHei" w:cs="Microsoft JhengHei"/>
          <w:b/>
          <w:bCs/>
          <w:spacing w:val="-31"/>
          <w:sz w:val="43"/>
          <w:szCs w:val="43"/>
        </w:rPr>
        <w:t>目</w:t>
      </w:r>
      <w:r>
        <w:rPr>
          <w:rFonts w:ascii="Microsoft JhengHei" w:hAnsi="Microsoft JhengHei" w:eastAsia="Microsoft JhengHei" w:cs="Microsoft JhengHei"/>
          <w:b/>
          <w:bCs/>
          <w:spacing w:val="10"/>
          <w:sz w:val="43"/>
          <w:szCs w:val="43"/>
        </w:rPr>
        <w:t xml:space="preserve">    </w:t>
      </w:r>
      <w:r>
        <w:rPr>
          <w:rFonts w:ascii="Microsoft JhengHei" w:hAnsi="Microsoft JhengHei" w:eastAsia="Microsoft JhengHei" w:cs="Microsoft JhengHei"/>
          <w:b/>
          <w:bCs/>
          <w:spacing w:val="-31"/>
          <w:sz w:val="43"/>
          <w:szCs w:val="43"/>
        </w:rPr>
        <w:t>录</w:t>
      </w: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单位概况</w:t>
      </w:r>
    </w:p>
    <w:p>
      <w:pPr>
        <w:pStyle w:val="3"/>
        <w:spacing w:line="307" w:lineRule="auto"/>
      </w:pPr>
    </w:p>
    <w:p>
      <w:pPr>
        <w:spacing w:before="100"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一、主要职能、职责</w:t>
      </w:r>
    </w:p>
    <w:p>
      <w:pPr>
        <w:pStyle w:val="3"/>
        <w:spacing w:line="308" w:lineRule="auto"/>
      </w:pPr>
    </w:p>
    <w:p>
      <w:pPr>
        <w:spacing w:before="101" w:line="459" w:lineRule="auto"/>
        <w:ind w:right="3030" w:firstLine="1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二、单位机构设置及预算单位构成情况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三、2023年度单位主要工作任务及目标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第二部分 2023年度单位预算情况说明</w:t>
      </w:r>
    </w:p>
    <w:p>
      <w:pPr>
        <w:spacing w:before="56"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一、收支预算总体情况说明</w:t>
      </w:r>
    </w:p>
    <w:p>
      <w:pPr>
        <w:pStyle w:val="3"/>
        <w:spacing w:line="305" w:lineRule="auto"/>
      </w:pPr>
    </w:p>
    <w:p>
      <w:pPr>
        <w:spacing w:before="102" w:line="22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二、收入预算情况说明</w:t>
      </w:r>
    </w:p>
    <w:p>
      <w:pPr>
        <w:pStyle w:val="3"/>
        <w:spacing w:line="305" w:lineRule="auto"/>
      </w:pPr>
    </w:p>
    <w:p>
      <w:pPr>
        <w:spacing w:before="101" w:line="227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三、支出预算情况说明</w:t>
      </w:r>
    </w:p>
    <w:p>
      <w:pPr>
        <w:pStyle w:val="3"/>
        <w:spacing w:line="305" w:lineRule="auto"/>
      </w:pPr>
    </w:p>
    <w:p>
      <w:pPr>
        <w:spacing w:before="102" w:line="227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四、财政拨款收支预算总体情况说明</w:t>
      </w:r>
    </w:p>
    <w:p>
      <w:pPr>
        <w:pStyle w:val="3"/>
        <w:spacing w:line="308" w:lineRule="auto"/>
      </w:pPr>
    </w:p>
    <w:p>
      <w:pPr>
        <w:spacing w:before="101"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五、一般公共预算支出预算情况说明</w:t>
      </w:r>
    </w:p>
    <w:p>
      <w:pPr>
        <w:pStyle w:val="3"/>
        <w:spacing w:line="305" w:lineRule="auto"/>
      </w:pPr>
    </w:p>
    <w:p>
      <w:pPr>
        <w:spacing w:before="101" w:line="227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六、一般公共预算基本支出预算情况说明</w:t>
      </w:r>
    </w:p>
    <w:p>
      <w:pPr>
        <w:pStyle w:val="3"/>
        <w:spacing w:line="305" w:lineRule="auto"/>
      </w:pPr>
    </w:p>
    <w:p>
      <w:pPr>
        <w:spacing w:before="102" w:line="227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七、一般公共预算“三公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”经费支出预算情况说明</w:t>
      </w:r>
    </w:p>
    <w:p>
      <w:pPr>
        <w:pStyle w:val="3"/>
        <w:spacing w:line="305" w:lineRule="auto"/>
      </w:pPr>
    </w:p>
    <w:p>
      <w:pPr>
        <w:spacing w:before="101" w:line="226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八、政府性基金预算支出预算情况说明</w:t>
      </w:r>
    </w:p>
    <w:p>
      <w:pPr>
        <w:pStyle w:val="3"/>
        <w:spacing w:line="308" w:lineRule="auto"/>
      </w:pPr>
    </w:p>
    <w:p>
      <w:pPr>
        <w:spacing w:before="101" w:line="227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九、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国有资本经营预算支出预算情况说明</w:t>
      </w:r>
    </w:p>
    <w:p>
      <w:pPr>
        <w:pStyle w:val="3"/>
        <w:spacing w:line="305" w:lineRule="auto"/>
      </w:pPr>
    </w:p>
    <w:p>
      <w:pPr>
        <w:spacing w:before="101" w:line="227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十、项目支出预算情况说明</w:t>
      </w:r>
    </w:p>
    <w:p>
      <w:pPr>
        <w:pStyle w:val="3"/>
        <w:spacing w:line="308" w:lineRule="auto"/>
      </w:pPr>
    </w:p>
    <w:p>
      <w:pPr>
        <w:spacing w:before="102" w:line="226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十一、一般公共预算机关运行经费支出预算情况说明</w:t>
      </w:r>
    </w:p>
    <w:p>
      <w:pPr>
        <w:spacing w:line="226" w:lineRule="auto"/>
        <w:sectPr>
          <w:footerReference r:id="rId4" w:type="default"/>
          <w:pgSz w:w="11910" w:h="16840"/>
          <w:pgMar w:top="1431" w:right="1680" w:bottom="1132" w:left="1771" w:header="0" w:footer="953" w:gutter="0"/>
          <w:cols w:space="720" w:num="1"/>
        </w:sectPr>
      </w:pPr>
    </w:p>
    <w:p>
      <w:pPr>
        <w:pStyle w:val="3"/>
        <w:spacing w:line="254" w:lineRule="auto"/>
      </w:pPr>
    </w:p>
    <w:p>
      <w:pPr>
        <w:spacing w:before="101" w:line="227" w:lineRule="auto"/>
        <w:ind w:left="1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十二、政府采购支出预算情况说明</w:t>
      </w:r>
    </w:p>
    <w:p>
      <w:pPr>
        <w:pStyle w:val="3"/>
        <w:spacing w:line="305" w:lineRule="auto"/>
      </w:pPr>
    </w:p>
    <w:p>
      <w:pPr>
        <w:spacing w:before="101" w:line="228" w:lineRule="auto"/>
        <w:ind w:left="1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十三、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国有资产占用情况说明</w:t>
      </w:r>
    </w:p>
    <w:p>
      <w:pPr>
        <w:spacing w:before="217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十四、项目绩效目标情况说明</w:t>
      </w:r>
    </w:p>
    <w:p>
      <w:pPr>
        <w:spacing w:before="165"/>
      </w:pPr>
    </w:p>
    <w:tbl>
      <w:tblPr>
        <w:tblW w:w="6227" w:type="dxa"/>
        <w:tblInd w:w="10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4875"/>
      </w:tblGrid>
      <w:tr>
        <w:trPr>
          <w:trHeight w:val="558" w:hRule="atLeast"/>
        </w:trPr>
        <w:tc>
          <w:tcPr>
            <w:tcW w:w="1352" w:type="dxa"/>
            <w:vAlign w:val="top"/>
          </w:tcPr>
          <w:p>
            <w:pPr>
              <w:spacing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第三部分</w:t>
            </w:r>
          </w:p>
        </w:tc>
        <w:tc>
          <w:tcPr>
            <w:tcW w:w="4875" w:type="dxa"/>
            <w:vAlign w:val="top"/>
          </w:tcPr>
          <w:p>
            <w:pPr>
              <w:spacing w:before="1" w:line="227" w:lineRule="auto"/>
              <w:ind w:left="9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名词解释</w:t>
            </w:r>
          </w:p>
        </w:tc>
      </w:tr>
      <w:tr>
        <w:trPr>
          <w:trHeight w:val="791" w:hRule="atLeast"/>
        </w:trPr>
        <w:tc>
          <w:tcPr>
            <w:tcW w:w="1352" w:type="dxa"/>
            <w:vAlign w:val="top"/>
          </w:tcPr>
          <w:p>
            <w:pPr>
              <w:spacing w:before="234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第四部分</w:t>
            </w:r>
          </w:p>
        </w:tc>
        <w:tc>
          <w:tcPr>
            <w:tcW w:w="4875" w:type="dxa"/>
            <w:vAlign w:val="top"/>
          </w:tcPr>
          <w:p>
            <w:pPr>
              <w:spacing w:before="234" w:line="226" w:lineRule="auto"/>
              <w:jc w:val="righ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预算公开联系方式及信息反馈渠道</w:t>
            </w:r>
          </w:p>
        </w:tc>
      </w:tr>
      <w:tr>
        <w:trPr>
          <w:trHeight w:val="556" w:hRule="atLeast"/>
        </w:trPr>
        <w:tc>
          <w:tcPr>
            <w:tcW w:w="1352" w:type="dxa"/>
            <w:vAlign w:val="top"/>
          </w:tcPr>
          <w:p>
            <w:pPr>
              <w:spacing w:before="231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第五部分</w:t>
            </w:r>
          </w:p>
        </w:tc>
        <w:tc>
          <w:tcPr>
            <w:tcW w:w="4875" w:type="dxa"/>
            <w:vAlign w:val="top"/>
          </w:tcPr>
          <w:p>
            <w:pPr>
              <w:spacing w:before="231" w:line="187" w:lineRule="auto"/>
              <w:ind w:left="8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2023年度单位预算表</w:t>
            </w:r>
          </w:p>
        </w:tc>
      </w:tr>
    </w:tbl>
    <w:p>
      <w:pPr>
        <w:pStyle w:val="3"/>
        <w:spacing w:line="362" w:lineRule="auto"/>
      </w:pPr>
    </w:p>
    <w:p>
      <w:pPr>
        <w:spacing w:before="100" w:line="229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一、收支总表</w:t>
      </w:r>
    </w:p>
    <w:p>
      <w:pPr>
        <w:pStyle w:val="3"/>
        <w:spacing w:line="302" w:lineRule="auto"/>
      </w:pPr>
    </w:p>
    <w:p>
      <w:pPr>
        <w:spacing w:before="101" w:line="229" w:lineRule="auto"/>
        <w:ind w:left="1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二、收入总表</w:t>
      </w:r>
    </w:p>
    <w:p>
      <w:pPr>
        <w:pStyle w:val="3"/>
        <w:spacing w:line="303" w:lineRule="auto"/>
      </w:pPr>
    </w:p>
    <w:p>
      <w:pPr>
        <w:spacing w:before="101" w:line="229" w:lineRule="auto"/>
        <w:ind w:left="1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三、支出总表</w:t>
      </w:r>
    </w:p>
    <w:p>
      <w:pPr>
        <w:pStyle w:val="3"/>
        <w:spacing w:line="301" w:lineRule="auto"/>
      </w:pPr>
    </w:p>
    <w:p>
      <w:pPr>
        <w:spacing w:before="102" w:line="229" w:lineRule="auto"/>
        <w:ind w:left="1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四、财政拨款收支总表</w:t>
      </w:r>
    </w:p>
    <w:p>
      <w:pPr>
        <w:pStyle w:val="3"/>
        <w:spacing w:line="305" w:lineRule="auto"/>
      </w:pPr>
    </w:p>
    <w:p>
      <w:pPr>
        <w:spacing w:before="101" w:line="227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五、一般公共预算支出表</w:t>
      </w:r>
    </w:p>
    <w:p>
      <w:pPr>
        <w:pStyle w:val="3"/>
        <w:spacing w:line="305" w:lineRule="auto"/>
      </w:pPr>
    </w:p>
    <w:p>
      <w:pPr>
        <w:spacing w:before="102" w:line="227" w:lineRule="auto"/>
        <w:ind w:left="1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六、一般公共预算基本支出表</w:t>
      </w:r>
    </w:p>
    <w:p>
      <w:pPr>
        <w:pStyle w:val="3"/>
        <w:spacing w:line="305" w:lineRule="auto"/>
      </w:pPr>
    </w:p>
    <w:p>
      <w:pPr>
        <w:spacing w:before="101" w:line="227" w:lineRule="auto"/>
        <w:ind w:left="1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七、一般公共预算“三公”经费支出表</w:t>
      </w:r>
    </w:p>
    <w:p>
      <w:pPr>
        <w:pStyle w:val="3"/>
        <w:spacing w:line="305" w:lineRule="auto"/>
      </w:pPr>
    </w:p>
    <w:p>
      <w:pPr>
        <w:spacing w:before="101" w:line="226" w:lineRule="auto"/>
        <w:ind w:left="1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八、政府性基金预算支出表</w:t>
      </w:r>
    </w:p>
    <w:p>
      <w:pPr>
        <w:pStyle w:val="3"/>
        <w:spacing w:line="308" w:lineRule="auto"/>
      </w:pPr>
    </w:p>
    <w:p>
      <w:pPr>
        <w:spacing w:before="101" w:line="227" w:lineRule="auto"/>
        <w:ind w:left="1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九、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国有资本经营预算支出表</w:t>
      </w:r>
    </w:p>
    <w:p>
      <w:pPr>
        <w:pStyle w:val="3"/>
        <w:spacing w:line="305" w:lineRule="auto"/>
      </w:pPr>
    </w:p>
    <w:p>
      <w:pPr>
        <w:spacing w:before="101" w:line="228" w:lineRule="auto"/>
        <w:ind w:left="1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十、项目支出表</w:t>
      </w:r>
    </w:p>
    <w:p>
      <w:pPr>
        <w:pStyle w:val="3"/>
        <w:spacing w:line="306" w:lineRule="auto"/>
      </w:pPr>
    </w:p>
    <w:p>
      <w:pPr>
        <w:spacing w:before="101" w:line="228" w:lineRule="auto"/>
        <w:ind w:left="1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十一、项目绩效目标表</w:t>
      </w:r>
    </w:p>
    <w:p>
      <w:pPr>
        <w:pStyle w:val="3"/>
        <w:spacing w:line="304" w:lineRule="auto"/>
      </w:pPr>
    </w:p>
    <w:p>
      <w:pPr>
        <w:spacing w:before="102" w:line="227" w:lineRule="auto"/>
        <w:ind w:left="1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十二、政府采购预算表</w:t>
      </w:r>
    </w:p>
    <w:p>
      <w:pPr>
        <w:spacing w:line="227" w:lineRule="auto"/>
        <w:sectPr>
          <w:footerReference r:id="rId5" w:type="default"/>
          <w:pgSz w:w="11910" w:h="16840"/>
          <w:pgMar w:top="1431" w:right="1680" w:bottom="1132" w:left="1669" w:header="0" w:footer="953" w:gutter="0"/>
          <w:cols w:space="720" w:num="1"/>
        </w:sectPr>
      </w:pPr>
    </w:p>
    <w:p>
      <w:pPr>
        <w:pStyle w:val="3"/>
        <w:spacing w:line="441" w:lineRule="auto"/>
      </w:pPr>
    </w:p>
    <w:p>
      <w:pPr>
        <w:spacing w:before="101" w:line="226" w:lineRule="auto"/>
        <w:ind w:left="34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第一部分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单位概况</w:t>
      </w:r>
    </w:p>
    <w:p>
      <w:pPr>
        <w:pStyle w:val="3"/>
        <w:spacing w:line="267" w:lineRule="auto"/>
      </w:pPr>
    </w:p>
    <w:p>
      <w:pPr>
        <w:spacing w:before="101" w:line="406" w:lineRule="auto"/>
        <w:ind w:left="649" w:right="6131" w:hanging="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一、主要职能、职责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单位职能:</w:t>
      </w:r>
    </w:p>
    <w:p>
      <w:pPr>
        <w:spacing w:before="1" w:line="218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一）承担局机关的日常运转保障工作。</w:t>
      </w:r>
    </w:p>
    <w:p>
      <w:pPr>
        <w:pStyle w:val="3"/>
        <w:spacing w:line="281" w:lineRule="auto"/>
      </w:pPr>
    </w:p>
    <w:p>
      <w:pPr>
        <w:spacing w:before="10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二）运用计算机技术为审计工作提供技术服务保障。</w:t>
      </w:r>
    </w:p>
    <w:p>
      <w:pPr>
        <w:pStyle w:val="3"/>
        <w:spacing w:line="276" w:lineRule="auto"/>
      </w:pPr>
    </w:p>
    <w:p>
      <w:pPr>
        <w:spacing w:before="10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三）承担审计干部教育培训等工作。</w:t>
      </w:r>
    </w:p>
    <w:p>
      <w:pPr>
        <w:spacing w:before="245" w:line="277" w:lineRule="auto"/>
        <w:ind w:left="48" w:right="239" w:firstLine="5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四）为行政机关、企业、事业单位内部审计提供支持服务。承担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内部审计经验交流、理论研讨、数据统计和人员教育培训</w:t>
      </w:r>
      <w:r>
        <w:rPr>
          <w:rFonts w:ascii="仿宋" w:hAnsi="仿宋" w:eastAsia="仿宋" w:cs="仿宋"/>
          <w:spacing w:val="3"/>
          <w:sz w:val="31"/>
          <w:szCs w:val="31"/>
        </w:rPr>
        <w:t>等工作。</w:t>
      </w:r>
    </w:p>
    <w:p>
      <w:pPr>
        <w:spacing w:before="195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五）完成盟审计局交办的其他工作任务。</w:t>
      </w:r>
    </w:p>
    <w:p>
      <w:pPr>
        <w:pStyle w:val="3"/>
        <w:spacing w:line="277" w:lineRule="auto"/>
      </w:pPr>
    </w:p>
    <w:p>
      <w:pPr>
        <w:spacing w:before="101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二、机构设置及预算单位构成情况</w:t>
      </w:r>
    </w:p>
    <w:p>
      <w:pPr>
        <w:spacing w:before="234" w:line="318" w:lineRule="auto"/>
        <w:ind w:left="3" w:right="5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从预算单位构成看，锡林郭勒盟审计局综合保障中心预算仅包含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本级预算。</w:t>
      </w:r>
    </w:p>
    <w:p>
      <w:pPr>
        <w:spacing w:before="107" w:line="223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（一）机构情况</w:t>
      </w:r>
    </w:p>
    <w:p>
      <w:pPr>
        <w:spacing w:before="240" w:line="318" w:lineRule="auto"/>
        <w:ind w:right="5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根据单位职责分工，本单位内设机构包括锡林郭勒盟审计局综合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保障中心，无下属单位。详细情况见表：</w:t>
      </w:r>
    </w:p>
    <w:p>
      <w:pPr>
        <w:spacing w:before="195"/>
      </w:pPr>
    </w:p>
    <w:tbl>
      <w:tblPr>
        <w:tblW w:w="8930" w:type="dxa"/>
        <w:tblInd w:w="3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4733"/>
        <w:gridCol w:w="2917"/>
      </w:tblGrid>
      <w:tr>
        <w:trPr>
          <w:trHeight w:val="762" w:hRule="atLeast"/>
        </w:trPr>
        <w:tc>
          <w:tcPr>
            <w:tcW w:w="1280" w:type="dxa"/>
            <w:vAlign w:val="top"/>
          </w:tcPr>
          <w:p>
            <w:pPr>
              <w:spacing w:before="182" w:line="222" w:lineRule="auto"/>
              <w:ind w:left="1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4733" w:type="dxa"/>
            <w:vAlign w:val="top"/>
          </w:tcPr>
          <w:p>
            <w:pPr>
              <w:spacing w:before="181" w:line="221" w:lineRule="auto"/>
              <w:ind w:left="20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单位名称</w:t>
            </w:r>
          </w:p>
        </w:tc>
        <w:tc>
          <w:tcPr>
            <w:tcW w:w="2917" w:type="dxa"/>
            <w:vAlign w:val="top"/>
          </w:tcPr>
          <w:p>
            <w:pPr>
              <w:spacing w:before="182" w:line="220" w:lineRule="auto"/>
              <w:ind w:left="11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单位性质</w:t>
            </w:r>
          </w:p>
        </w:tc>
      </w:tr>
      <w:tr>
        <w:trPr>
          <w:trHeight w:val="567" w:hRule="atLeast"/>
        </w:trPr>
        <w:tc>
          <w:tcPr>
            <w:tcW w:w="1280" w:type="dxa"/>
            <w:vAlign w:val="top"/>
          </w:tcPr>
          <w:p>
            <w:pPr>
              <w:spacing w:before="222" w:line="183" w:lineRule="auto"/>
              <w:ind w:left="9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4733" w:type="dxa"/>
            <w:vAlign w:val="top"/>
          </w:tcPr>
          <w:p>
            <w:pPr>
              <w:spacing w:before="180" w:line="221" w:lineRule="auto"/>
              <w:ind w:left="1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锡林郭勒盟审计局综合保障中心</w:t>
            </w:r>
          </w:p>
        </w:tc>
        <w:tc>
          <w:tcPr>
            <w:tcW w:w="2917" w:type="dxa"/>
            <w:vAlign w:val="top"/>
          </w:tcPr>
          <w:p>
            <w:pPr>
              <w:spacing w:before="180" w:line="221" w:lineRule="auto"/>
              <w:ind w:left="1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公益一类事业单位</w:t>
            </w:r>
          </w:p>
        </w:tc>
      </w:tr>
    </w:tbl>
    <w:p>
      <w:pPr>
        <w:spacing w:before="231" w:line="217" w:lineRule="auto"/>
        <w:ind w:left="9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二）人员基本情况，编制、实有、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离退休等。</w:t>
      </w:r>
    </w:p>
    <w:p>
      <w:pPr>
        <w:spacing w:before="201" w:line="317" w:lineRule="auto"/>
        <w:ind w:left="452" w:right="16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本中心有事业编制15个。截止2022年底，</w:t>
      </w:r>
      <w:r>
        <w:rPr>
          <w:rFonts w:ascii="仿宋" w:hAnsi="仿宋" w:eastAsia="仿宋" w:cs="仿宋"/>
          <w:spacing w:val="5"/>
          <w:sz w:val="31"/>
          <w:szCs w:val="31"/>
        </w:rPr>
        <w:t>实有事业人员8人，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无退休人员。</w:t>
      </w:r>
    </w:p>
    <w:p>
      <w:pPr>
        <w:spacing w:line="317" w:lineRule="auto"/>
        <w:sectPr>
          <w:footerReference r:id="rId6" w:type="default"/>
          <w:pgSz w:w="11910" w:h="16840"/>
          <w:pgMar w:top="1431" w:right="1020" w:bottom="1132" w:left="1249" w:header="0" w:footer="953" w:gutter="0"/>
          <w:cols w:space="720" w:num="1"/>
        </w:sectPr>
      </w:pPr>
    </w:p>
    <w:p>
      <w:pPr>
        <w:spacing w:before="324" w:line="226" w:lineRule="auto"/>
        <w:ind w:left="7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三．2023年度主要工作任务及目标</w:t>
      </w:r>
    </w:p>
    <w:p>
      <w:pPr>
        <w:spacing w:before="181" w:line="330" w:lineRule="auto"/>
        <w:ind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2023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年锡林郭勒盟审计局综合保障中心将坚持以习近平新时代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中国特色社会主义思想为指导，认真贯彻落实党的二十大精神，按照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“全盟审计工作会议”安排部署，切实压紧压实工作责</w:t>
      </w:r>
      <w:r>
        <w:rPr>
          <w:rFonts w:ascii="仿宋" w:hAnsi="仿宋" w:eastAsia="仿宋" w:cs="仿宋"/>
          <w:spacing w:val="8"/>
          <w:sz w:val="31"/>
          <w:szCs w:val="31"/>
        </w:rPr>
        <w:t>任，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以高质量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的工作水平完成好各项工作任务。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</w:t>
      </w:r>
      <w:r>
        <w:rPr>
          <w:rFonts w:ascii="仿宋" w:hAnsi="仿宋" w:eastAsia="仿宋" w:cs="仿宋"/>
          <w:spacing w:val="9"/>
          <w:sz w:val="31"/>
          <w:szCs w:val="31"/>
        </w:rPr>
        <w:t>继续做好局机关后</w:t>
      </w:r>
      <w:r>
        <w:rPr>
          <w:rFonts w:ascii="仿宋" w:hAnsi="仿宋" w:eastAsia="仿宋" w:cs="仿宋"/>
          <w:spacing w:val="8"/>
          <w:sz w:val="31"/>
          <w:szCs w:val="31"/>
        </w:rPr>
        <w:t>勤保障等工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作；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二是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“金审工程三期项目”为依托，运用计算机技术为审计工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作提供技术服务保障；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三是</w:t>
      </w:r>
      <w:r>
        <w:rPr>
          <w:rFonts w:ascii="仿宋" w:hAnsi="仿宋" w:eastAsia="仿宋" w:cs="仿宋"/>
          <w:spacing w:val="11"/>
          <w:sz w:val="31"/>
          <w:szCs w:val="31"/>
        </w:rPr>
        <w:t>承担审计相关培训，组织全盟审计系统积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极参加内审协会组织的相关培训；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四是</w:t>
      </w:r>
      <w:r>
        <w:rPr>
          <w:rFonts w:ascii="仿宋" w:hAnsi="仿宋" w:eastAsia="仿宋" w:cs="仿宋"/>
          <w:spacing w:val="8"/>
          <w:sz w:val="31"/>
          <w:szCs w:val="31"/>
        </w:rPr>
        <w:t>进一步加强为行政机关、事业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单位、企业内部审计提供支持服务；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五是</w:t>
      </w:r>
      <w:r>
        <w:rPr>
          <w:rFonts w:ascii="仿宋" w:hAnsi="仿宋" w:eastAsia="仿宋" w:cs="仿宋"/>
          <w:spacing w:val="11"/>
          <w:sz w:val="31"/>
          <w:szCs w:val="31"/>
        </w:rPr>
        <w:t>完成好内部审计经验交流、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理论研讨、数据统计和人员教育培训等工作。</w:t>
      </w:r>
    </w:p>
    <w:p>
      <w:pPr>
        <w:spacing w:before="274" w:line="226" w:lineRule="auto"/>
        <w:ind w:left="22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第二部分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2023年度单位预算情况说明</w:t>
      </w:r>
    </w:p>
    <w:p>
      <w:pPr>
        <w:spacing w:before="220" w:line="226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一、收支预算总体情况说明</w:t>
      </w:r>
    </w:p>
    <w:p>
      <w:pPr>
        <w:pStyle w:val="3"/>
        <w:spacing w:line="278" w:lineRule="auto"/>
      </w:pPr>
    </w:p>
    <w:p>
      <w:pPr>
        <w:spacing w:before="100" w:line="323" w:lineRule="auto"/>
        <w:ind w:left="117" w:right="5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锡林郭勒盟审计局综合保障中心2023年度收入、支</w:t>
      </w:r>
      <w:r>
        <w:rPr>
          <w:rFonts w:ascii="仿宋" w:hAnsi="仿宋" w:eastAsia="仿宋" w:cs="仿宋"/>
          <w:spacing w:val="8"/>
          <w:sz w:val="31"/>
          <w:szCs w:val="31"/>
        </w:rPr>
        <w:t>出预算总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计155.98万元，与上年相比收、支预算总计各增加117.33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增长303.57%。其中：</w:t>
      </w:r>
    </w:p>
    <w:p>
      <w:pPr>
        <w:spacing w:before="13" w:line="395" w:lineRule="auto"/>
        <w:ind w:left="759" w:right="2521" w:hanging="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5"/>
          <w:szCs w:val="35"/>
        </w:rPr>
        <w:t>（一）收入预算总计155.98万元。包括：</w:t>
      </w:r>
      <w:r>
        <w:rPr>
          <w:rFonts w:ascii="楷体" w:hAnsi="楷体" w:eastAsia="楷体" w:cs="楷体"/>
          <w:spacing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本年收入合计119.09万元。</w:t>
      </w:r>
    </w:p>
    <w:p>
      <w:pPr>
        <w:spacing w:before="125" w:line="296" w:lineRule="auto"/>
        <w:ind w:left="131" w:right="57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）一般公共预算拨款收入119.09万元，与上年相</w:t>
      </w:r>
      <w:r>
        <w:rPr>
          <w:rFonts w:ascii="仿宋" w:hAnsi="仿宋" w:eastAsia="仿宋" w:cs="仿宋"/>
          <w:spacing w:val="2"/>
          <w:sz w:val="31"/>
          <w:szCs w:val="31"/>
        </w:rPr>
        <w:t>比增加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83.44万元，增加215.87%。主要原因是：本单位是2022年新成立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事业单位，本年实有人员数量比上年大幅增加。</w:t>
      </w:r>
    </w:p>
    <w:p>
      <w:pPr>
        <w:pStyle w:val="3"/>
        <w:spacing w:line="277" w:lineRule="auto"/>
      </w:pPr>
    </w:p>
    <w:p>
      <w:pPr>
        <w:spacing w:before="102" w:line="277" w:lineRule="auto"/>
        <w:ind w:left="132" w:right="73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2）政府性基金预算拨款收入0万元，与上年相比增加0万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元，增长0%。主要原因是：我单位无此项预算收入。</w:t>
      </w:r>
    </w:p>
    <w:p>
      <w:pPr>
        <w:spacing w:line="277" w:lineRule="auto"/>
        <w:sectPr>
          <w:footerReference r:id="rId7" w:type="default"/>
          <w:pgSz w:w="11910" w:h="16840"/>
          <w:pgMar w:top="1431" w:right="1019" w:bottom="1131" w:left="1251" w:header="0" w:footer="953" w:gutter="0"/>
          <w:cols w:space="720" w:num="1"/>
        </w:sectPr>
      </w:pPr>
    </w:p>
    <w:p>
      <w:pPr>
        <w:spacing w:before="324" w:line="277" w:lineRule="auto"/>
        <w:ind w:left="134" w:right="41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3）国有资本经营预算拨款收入0万元，与上年相比增加0万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元，增长0%。主要原因是：我单位无此项预算收入。</w:t>
      </w:r>
    </w:p>
    <w:p>
      <w:pPr>
        <w:spacing w:before="189" w:line="293" w:lineRule="auto"/>
        <w:ind w:right="28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）财政专户管理资金收入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万元，与上年相比增加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增长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0 %</w:t>
      </w:r>
      <w:r>
        <w:rPr>
          <w:rFonts w:ascii="仿宋" w:hAnsi="仿宋" w:eastAsia="仿宋" w:cs="仿宋"/>
          <w:spacing w:val="7"/>
          <w:sz w:val="31"/>
          <w:szCs w:val="31"/>
        </w:rPr>
        <w:t>。主要原因是我单位无此项预算收入。</w:t>
      </w:r>
    </w:p>
    <w:p>
      <w:pPr>
        <w:spacing w:before="87" w:line="292" w:lineRule="auto"/>
        <w:ind w:left="12" w:right="25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）事业收入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万元，与上年相比增加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仿宋" w:hAnsi="仿宋" w:eastAsia="仿宋" w:cs="仿宋"/>
          <w:spacing w:val="4"/>
          <w:sz w:val="31"/>
          <w:szCs w:val="31"/>
        </w:rPr>
        <w:t>。主要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原因是我单位无此项预算收入。</w:t>
      </w:r>
    </w:p>
    <w:p>
      <w:pPr>
        <w:spacing w:before="187" w:line="293" w:lineRule="auto"/>
        <w:ind w:left="2" w:right="243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</w:t>
      </w:r>
      <w:r>
        <w:rPr>
          <w:rFonts w:ascii="仿宋" w:hAnsi="仿宋" w:eastAsia="仿宋" w:cs="仿宋"/>
          <w:spacing w:val="13"/>
          <w:sz w:val="31"/>
          <w:szCs w:val="31"/>
        </w:rPr>
        <w:t>）事业单位经营收入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3"/>
          <w:sz w:val="31"/>
          <w:szCs w:val="31"/>
        </w:rPr>
        <w:t>万元，与上年相比增加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3"/>
          <w:sz w:val="31"/>
          <w:szCs w:val="31"/>
        </w:rPr>
        <w:t>万元，增长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0%</w:t>
      </w:r>
      <w:r>
        <w:rPr>
          <w:rFonts w:ascii="仿宋" w:hAnsi="仿宋" w:eastAsia="仿宋" w:cs="仿宋"/>
          <w:spacing w:val="8"/>
          <w:sz w:val="31"/>
          <w:szCs w:val="31"/>
        </w:rPr>
        <w:t>。主要原因是我单位无此项预算收入。</w:t>
      </w:r>
    </w:p>
    <w:p>
      <w:pPr>
        <w:spacing w:before="90" w:line="291" w:lineRule="auto"/>
        <w:ind w:left="17" w:right="125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仿宋" w:hAnsi="仿宋" w:eastAsia="仿宋" w:cs="仿宋"/>
          <w:spacing w:val="4"/>
          <w:sz w:val="31"/>
          <w:szCs w:val="31"/>
        </w:rPr>
        <w:t>）上级补助收入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万元，与上年相比增加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主要原因是我单位无此项预算收入。</w:t>
      </w:r>
    </w:p>
    <w:p>
      <w:pPr>
        <w:spacing w:before="187" w:line="294" w:lineRule="auto"/>
        <w:ind w:left="2" w:right="226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</w:t>
      </w:r>
      <w:r>
        <w:rPr>
          <w:rFonts w:ascii="仿宋" w:hAnsi="仿宋" w:eastAsia="仿宋" w:cs="仿宋"/>
          <w:spacing w:val="4"/>
          <w:sz w:val="31"/>
          <w:szCs w:val="31"/>
        </w:rPr>
        <w:t>）附属单位上缴收入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万元，与上年相比增加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0%</w:t>
      </w:r>
      <w:r>
        <w:rPr>
          <w:rFonts w:ascii="仿宋" w:hAnsi="仿宋" w:eastAsia="仿宋" w:cs="仿宋"/>
          <w:spacing w:val="8"/>
          <w:sz w:val="31"/>
          <w:szCs w:val="31"/>
        </w:rPr>
        <w:t>。主要原因是我单位无此项预算收入。</w:t>
      </w:r>
    </w:p>
    <w:p>
      <w:pPr>
        <w:spacing w:before="88" w:line="291" w:lineRule="auto"/>
        <w:ind w:left="13" w:right="29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</w:t>
      </w:r>
      <w:r>
        <w:rPr>
          <w:rFonts w:ascii="仿宋" w:hAnsi="仿宋" w:eastAsia="仿宋" w:cs="仿宋"/>
          <w:spacing w:val="6"/>
          <w:sz w:val="31"/>
          <w:szCs w:val="31"/>
        </w:rPr>
        <w:t>）其他收入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6"/>
          <w:sz w:val="31"/>
          <w:szCs w:val="31"/>
        </w:rPr>
        <w:t>万元，与上年相比增加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0 %</w:t>
      </w:r>
      <w:r>
        <w:rPr>
          <w:rFonts w:ascii="仿宋" w:hAnsi="仿宋" w:eastAsia="仿宋" w:cs="仿宋"/>
          <w:spacing w:val="6"/>
          <w:sz w:val="31"/>
          <w:szCs w:val="31"/>
        </w:rPr>
        <w:t>。主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要原因是我单位无此项预算收入。</w:t>
      </w:r>
    </w:p>
    <w:p>
      <w:pPr>
        <w:pStyle w:val="3"/>
        <w:spacing w:line="276" w:lineRule="auto"/>
      </w:pPr>
    </w:p>
    <w:p>
      <w:pPr>
        <w:spacing w:before="101" w:line="323" w:lineRule="auto"/>
        <w:ind w:left="120" w:right="57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2.上年结转结余为36.89万元。与上年相比增加36.89万元，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增长100%。主要原因是：上年无结转结余经费，截至2022年底预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算安排公用经费未支出完毕，本年继续使用。</w:t>
      </w:r>
    </w:p>
    <w:p>
      <w:pPr>
        <w:spacing w:before="16" w:line="233" w:lineRule="auto"/>
        <w:ind w:left="39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</w:rPr>
        <w:t>（二）支出预算总计155.98万元。包括：</w:t>
      </w:r>
    </w:p>
    <w:p>
      <w:pPr>
        <w:pStyle w:val="3"/>
        <w:spacing w:line="243" w:lineRule="auto"/>
      </w:pPr>
    </w:p>
    <w:p>
      <w:pPr>
        <w:spacing w:before="102" w:line="222" w:lineRule="auto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1．本年支出合计155.98万元。</w:t>
      </w:r>
    </w:p>
    <w:p>
      <w:pPr>
        <w:pStyle w:val="3"/>
        <w:spacing w:line="273" w:lineRule="auto"/>
      </w:pPr>
    </w:p>
    <w:p>
      <w:pPr>
        <w:spacing w:before="101" w:line="296" w:lineRule="auto"/>
        <w:ind w:left="131" w:right="570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）一般公共服务（类）支出126.3万元，主要用于单位人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员工资福利支出及公用经费支出。主要原因是：用于本单位日渐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充盈人员的工资福利及单位运行方面支出。</w:t>
      </w:r>
    </w:p>
    <w:p>
      <w:pPr>
        <w:pStyle w:val="3"/>
        <w:spacing w:line="277" w:lineRule="auto"/>
      </w:pPr>
    </w:p>
    <w:p>
      <w:pPr>
        <w:spacing w:before="101" w:line="221" w:lineRule="auto"/>
        <w:ind w:left="7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2）社会保障和就业（类）支出10.64万元，主要用于单位</w:t>
      </w:r>
    </w:p>
    <w:p>
      <w:pPr>
        <w:spacing w:line="221" w:lineRule="auto"/>
        <w:sectPr>
          <w:footerReference r:id="rId8" w:type="default"/>
          <w:pgSz w:w="11910" w:h="16840"/>
          <w:pgMar w:top="1431" w:right="1020" w:bottom="1132" w:left="1249" w:header="0" w:footer="953" w:gutter="0"/>
          <w:cols w:space="720" w:num="1"/>
        </w:sectPr>
      </w:pPr>
    </w:p>
    <w:p>
      <w:pPr>
        <w:spacing w:before="324" w:line="325" w:lineRule="auto"/>
        <w:ind w:left="8" w:right="4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在职人员机关事业单位养老保险缴费支出。与</w:t>
      </w:r>
      <w:r>
        <w:rPr>
          <w:rFonts w:ascii="仿宋" w:hAnsi="仿宋" w:eastAsia="仿宋" w:cs="仿宋"/>
          <w:spacing w:val="8"/>
          <w:sz w:val="31"/>
          <w:szCs w:val="31"/>
        </w:rPr>
        <w:t>上年相比增加7.32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万元，增长220.48%。主要原因是本年单位在职人员较上年大幅增 </w:t>
      </w:r>
      <w:r>
        <w:rPr>
          <w:rFonts w:ascii="仿宋" w:hAnsi="仿宋" w:eastAsia="仿宋" w:cs="仿宋"/>
          <w:spacing w:val="-4"/>
          <w:sz w:val="31"/>
          <w:szCs w:val="31"/>
        </w:rPr>
        <w:t>长。</w:t>
      </w:r>
    </w:p>
    <w:p>
      <w:pPr>
        <w:spacing w:before="232" w:line="323" w:lineRule="auto"/>
        <w:ind w:right="57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3）卫生健康（类）支出6.9万元，主要用于单位在职人员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基本医疗保险等卫生健康方面支出。与上年相比增加5.33万元，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增长339.49%。主要原因是本年单位在职人员较上年大幅增长。</w:t>
      </w:r>
    </w:p>
    <w:p>
      <w:pPr>
        <w:spacing w:before="244" w:line="326" w:lineRule="auto"/>
        <w:ind w:left="7" w:right="41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3）住房保障（类）支出12.15万元，主要用于单位</w:t>
      </w:r>
      <w:r>
        <w:rPr>
          <w:rFonts w:ascii="仿宋" w:hAnsi="仿宋" w:eastAsia="仿宋" w:cs="仿宋"/>
          <w:spacing w:val="5"/>
          <w:sz w:val="31"/>
          <w:szCs w:val="31"/>
        </w:rPr>
        <w:t>在职人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员住房公积金及住房补贴支出。与上年相比增</w:t>
      </w:r>
      <w:r>
        <w:rPr>
          <w:rFonts w:ascii="仿宋" w:hAnsi="仿宋" w:eastAsia="仿宋" w:cs="仿宋"/>
          <w:spacing w:val="8"/>
          <w:sz w:val="31"/>
          <w:szCs w:val="31"/>
        </w:rPr>
        <w:t>加8.21万元，增长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208.38%。主要原因是本年单位在职人员较上年大幅增长且住房公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积金缴费基数调整。</w:t>
      </w:r>
    </w:p>
    <w:p>
      <w:pPr>
        <w:spacing w:before="80" w:line="226" w:lineRule="auto"/>
        <w:ind w:left="52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二、收入预算情况说明</w:t>
      </w:r>
    </w:p>
    <w:p>
      <w:pPr>
        <w:pStyle w:val="3"/>
        <w:spacing w:line="278" w:lineRule="auto"/>
      </w:pPr>
    </w:p>
    <w:p>
      <w:pPr>
        <w:spacing w:before="101" w:line="316" w:lineRule="auto"/>
        <w:ind w:left="25" w:right="1211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本单位2023年收入预算总计155.98万元，</w:t>
      </w:r>
      <w:r>
        <w:rPr>
          <w:rFonts w:ascii="仿宋" w:hAnsi="仿宋" w:eastAsia="仿宋" w:cs="仿宋"/>
          <w:spacing w:val="7"/>
          <w:sz w:val="31"/>
          <w:szCs w:val="31"/>
        </w:rPr>
        <w:t>包括本年收入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119.09万元，上年结转结余36.89万元。其中：</w:t>
      </w:r>
    </w:p>
    <w:p>
      <w:pPr>
        <w:spacing w:before="247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本年一般公共预算收入119.09万元，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占76.35%；</w:t>
      </w:r>
    </w:p>
    <w:p>
      <w:pPr>
        <w:pStyle w:val="3"/>
        <w:spacing w:line="274" w:lineRule="auto"/>
      </w:pPr>
    </w:p>
    <w:p>
      <w:pPr>
        <w:spacing w:before="102" w:line="220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本年政府性基金预算收入0万元，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占0%；</w:t>
      </w:r>
    </w:p>
    <w:p>
      <w:pPr>
        <w:pStyle w:val="3"/>
        <w:spacing w:line="278" w:lineRule="auto"/>
      </w:pPr>
    </w:p>
    <w:p>
      <w:pPr>
        <w:spacing w:before="101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本年国有资本经营预算收入0万元，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占0%；</w:t>
      </w:r>
    </w:p>
    <w:p>
      <w:pPr>
        <w:pStyle w:val="3"/>
        <w:spacing w:line="272" w:lineRule="auto"/>
      </w:pPr>
    </w:p>
    <w:p>
      <w:pPr>
        <w:spacing w:before="101" w:line="433" w:lineRule="auto"/>
        <w:ind w:left="643" w:right="3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本年财政专户管理资金0万元，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本年事业收入0万元，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占0%；</w:t>
      </w:r>
    </w:p>
    <w:p>
      <w:pPr>
        <w:spacing w:before="48" w:line="432" w:lineRule="auto"/>
        <w:ind w:left="643" w:right="3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本年事业单位经营收入0万元，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本年上级补助收入0万元，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占0%；</w:t>
      </w:r>
    </w:p>
    <w:p>
      <w:pPr>
        <w:spacing w:before="49" w:line="221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本年附属单位上缴收入0万元，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占0%；</w:t>
      </w:r>
    </w:p>
    <w:p>
      <w:pPr>
        <w:spacing w:line="221" w:lineRule="auto"/>
        <w:sectPr>
          <w:footerReference r:id="rId9" w:type="default"/>
          <w:pgSz w:w="11910" w:h="16840"/>
          <w:pgMar w:top="1431" w:right="1020" w:bottom="1131" w:left="1368" w:header="0" w:footer="953" w:gutter="0"/>
          <w:cols w:space="720" w:num="1"/>
        </w:sectPr>
      </w:pPr>
    </w:p>
    <w:p>
      <w:pPr>
        <w:spacing w:before="324" w:line="222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本年其他收入0万元，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占0%；</w:t>
      </w:r>
    </w:p>
    <w:p>
      <w:pPr>
        <w:pStyle w:val="3"/>
        <w:spacing w:line="273" w:lineRule="auto"/>
      </w:pPr>
    </w:p>
    <w:p>
      <w:pPr>
        <w:spacing w:before="101" w:line="431" w:lineRule="auto"/>
        <w:ind w:left="232" w:right="8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上年结转结余的一般公共预算收入36.89万元，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占23.65%；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上年结转结余的政府性基金预算收入0万元，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占0%；</w:t>
      </w:r>
    </w:p>
    <w:p>
      <w:pPr>
        <w:spacing w:before="52" w:line="431" w:lineRule="auto"/>
        <w:ind w:left="232" w:right="14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上年结转结余的国有资本经营预算收入0万元，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占0</w:t>
      </w:r>
      <w:r>
        <w:rPr>
          <w:rFonts w:ascii="仿宋" w:hAnsi="仿宋" w:eastAsia="仿宋" w:cs="仿宋"/>
          <w:spacing w:val="1"/>
          <w:sz w:val="31"/>
          <w:szCs w:val="31"/>
        </w:rPr>
        <w:t>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上年结转结余的财政专户管理资金0万元，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占0%；</w:t>
      </w:r>
    </w:p>
    <w:p>
      <w:pPr>
        <w:spacing w:before="54" w:line="317" w:lineRule="auto"/>
        <w:ind w:left="3528" w:right="3379" w:hanging="32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上年结转结余的单位资金0万元，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图</w:t>
      </w:r>
      <w:r>
        <w:rPr>
          <w:rFonts w:ascii="宋体" w:hAnsi="宋体" w:eastAsia="宋体" w:cs="宋体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收入预算图</w:t>
      </w:r>
    </w:p>
    <w:p>
      <w:pPr>
        <w:spacing w:line="4339" w:lineRule="exact"/>
        <w:ind w:firstLine="1803"/>
      </w:pPr>
      <w:r>
        <w:rPr>
          <w:rFonts w:ascii="Arial" w:hAnsi="Arial" w:eastAsia="Arial" w:cs="Arial"/>
          <w:snapToGrid w:val="0"/>
          <w:color w:val="000000"/>
          <w:kern w:val="0"/>
          <w:position w:val="-86"/>
          <w:sz w:val="21"/>
          <w:szCs w:val="21"/>
          <w:lang w:val="en-US" w:eastAsia="en-US" w:bidi="ar-SA"/>
        </w:rPr>
        <w:pict>
          <v:shape id="图片框 1025" o:spid="_x0000_s1030" type="#_x0000_t75" style="height:216.95pt;width:279.35pt;rotation:0f;" o:ole="f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spacing w:line="260" w:lineRule="auto"/>
      </w:pPr>
    </w:p>
    <w:p>
      <w:pPr>
        <w:pStyle w:val="3"/>
        <w:spacing w:line="260" w:lineRule="auto"/>
      </w:pPr>
    </w:p>
    <w:p>
      <w:pPr>
        <w:pStyle w:val="3"/>
        <w:spacing w:line="261" w:lineRule="auto"/>
      </w:pPr>
    </w:p>
    <w:p>
      <w:pPr>
        <w:spacing w:before="100" w:line="226" w:lineRule="auto"/>
        <w:ind w:left="11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三、支出预算情况说明</w:t>
      </w:r>
    </w:p>
    <w:p>
      <w:pPr>
        <w:pStyle w:val="3"/>
        <w:spacing w:line="276" w:lineRule="auto"/>
      </w:pPr>
    </w:p>
    <w:p>
      <w:pPr>
        <w:spacing w:before="102" w:line="222" w:lineRule="auto"/>
        <w:ind w:left="4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部门预算支出155.98万元，其中：</w:t>
      </w:r>
    </w:p>
    <w:p>
      <w:pPr>
        <w:pStyle w:val="3"/>
        <w:spacing w:line="272" w:lineRule="auto"/>
      </w:pPr>
    </w:p>
    <w:p>
      <w:pPr>
        <w:spacing w:before="101" w:line="433" w:lineRule="auto"/>
        <w:ind w:left="429" w:right="3658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基本支出153.68万元，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占比98.53%；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项目支出2.3万元，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占比1.47%；</w:t>
      </w:r>
    </w:p>
    <w:p>
      <w:pPr>
        <w:spacing w:before="31" w:line="418" w:lineRule="exact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"/>
          <w:sz w:val="31"/>
          <w:szCs w:val="31"/>
        </w:rPr>
        <w:t>事业单位经营支出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0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0%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；</w:t>
      </w:r>
    </w:p>
    <w:p>
      <w:pPr>
        <w:spacing w:line="418" w:lineRule="exact"/>
        <w:sectPr>
          <w:footerReference r:id="rId10" w:type="default"/>
          <w:pgSz w:w="11910" w:h="16840"/>
          <w:pgMar w:top="1431" w:right="1020" w:bottom="1132" w:left="1786" w:header="0" w:footer="953" w:gutter="0"/>
          <w:cols w:space="720" w:num="1"/>
        </w:sectPr>
      </w:pPr>
    </w:p>
    <w:p>
      <w:pPr>
        <w:spacing w:before="307" w:line="419" w:lineRule="exact"/>
        <w:ind w:left="10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上缴上级支出</w:t>
      </w:r>
      <w:r>
        <w:rPr>
          <w:rFonts w:ascii="Times New Roman" w:hAnsi="Times New Roman" w:eastAsia="Times New Roman" w:cs="Times New Roman"/>
          <w:spacing w:val="1"/>
          <w:position w:val="1"/>
          <w:sz w:val="31"/>
          <w:szCs w:val="31"/>
        </w:rPr>
        <w:t>0</w:t>
      </w:r>
      <w:r>
        <w:rPr>
          <w:rFonts w:ascii="仿宋" w:hAnsi="仿宋" w:eastAsia="仿宋" w:cs="仿宋"/>
          <w:spacing w:val="1"/>
          <w:position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1"/>
          <w:position w:val="1"/>
          <w:sz w:val="31"/>
          <w:szCs w:val="31"/>
        </w:rPr>
        <w:t>0%</w:t>
      </w:r>
      <w:r>
        <w:rPr>
          <w:rFonts w:ascii="仿宋" w:hAnsi="仿宋" w:eastAsia="仿宋" w:cs="仿宋"/>
          <w:spacing w:val="1"/>
          <w:position w:val="1"/>
          <w:sz w:val="31"/>
          <w:szCs w:val="31"/>
        </w:rPr>
        <w:t>；</w:t>
      </w:r>
    </w:p>
    <w:p>
      <w:pPr>
        <w:pStyle w:val="3"/>
        <w:spacing w:line="267" w:lineRule="auto"/>
      </w:pPr>
    </w:p>
    <w:p>
      <w:pPr>
        <w:spacing w:before="101" w:line="312" w:lineRule="auto"/>
        <w:ind w:left="3640" w:right="3495" w:hanging="25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对附属单位补助支出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图</w:t>
      </w:r>
      <w:r>
        <w:rPr>
          <w:rFonts w:ascii="宋体" w:hAnsi="宋体" w:eastAsia="宋体" w:cs="宋体"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2"/>
          <w:sz w:val="31"/>
          <w:szCs w:val="31"/>
        </w:rPr>
        <w:t>支出预算图</w:t>
      </w:r>
    </w:p>
    <w:p>
      <w:pPr>
        <w:spacing w:before="114" w:line="4375" w:lineRule="exact"/>
        <w:ind w:firstLine="2574"/>
      </w:pPr>
      <w:r>
        <w:rPr>
          <w:rFonts w:ascii="Arial" w:hAnsi="Arial" w:eastAsia="Arial" w:cs="Arial"/>
          <w:snapToGrid w:val="0"/>
          <w:color w:val="000000"/>
          <w:kern w:val="0"/>
          <w:position w:val="-87"/>
          <w:sz w:val="21"/>
          <w:szCs w:val="21"/>
          <w:lang w:val="en-US" w:eastAsia="en-US" w:bidi="ar-SA"/>
        </w:rPr>
        <w:pict>
          <v:shape id="图片框 1026" o:spid="_x0000_s1031" type="#_x0000_t75" style="height:218.7pt;width:254.7pt;rotation:0f;" o:ole="f" fillcolor="#FFFFFF" filled="f" o:preferrelative="t" stroked="f" coordorigin="0,0" coordsize="21600,21600">
            <v:fill on="f" color2="#FFFFFF" focus="0%"/>
            <v:imagedata gain="65536f" blacklevel="0f" gamma="0" o:title="" r:id="rId3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spacing w:line="303" w:lineRule="auto"/>
      </w:pPr>
    </w:p>
    <w:p>
      <w:pPr>
        <w:spacing w:before="101" w:line="318" w:lineRule="auto"/>
        <w:ind w:right="44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支出中主要用于保障机构运转的人员工资福利支出114.19万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元，商品和服务支出41.79万元，对个人和家庭的补助支出0万元。</w:t>
      </w:r>
    </w:p>
    <w:p>
      <w:pPr>
        <w:spacing w:before="83" w:line="226" w:lineRule="auto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四、财政拨款收支预算总体情况说明</w:t>
      </w:r>
    </w:p>
    <w:p>
      <w:pPr>
        <w:pStyle w:val="3"/>
        <w:spacing w:line="279" w:lineRule="auto"/>
      </w:pPr>
    </w:p>
    <w:p>
      <w:pPr>
        <w:spacing w:before="101" w:line="327" w:lineRule="auto"/>
        <w:ind w:left="111" w:right="412" w:firstLine="639"/>
      </w:pPr>
      <w:r>
        <w:rPr>
          <w:rFonts w:ascii="仿宋" w:hAnsi="仿宋" w:eastAsia="仿宋" w:cs="仿宋"/>
          <w:spacing w:val="8"/>
          <w:sz w:val="31"/>
          <w:szCs w:val="31"/>
        </w:rPr>
        <w:t>财政拨款收支预算155.98万元，包括：一般公共预算财政拨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款119.09万元，政府性基金预算财政拨款0万元，上</w:t>
      </w:r>
      <w:r>
        <w:rPr>
          <w:rFonts w:ascii="仿宋" w:hAnsi="仿宋" w:eastAsia="仿宋" w:cs="仿宋"/>
          <w:spacing w:val="7"/>
          <w:sz w:val="31"/>
          <w:szCs w:val="31"/>
        </w:rPr>
        <w:t>年结转36.89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万元。与上年相比财政拨款收、支总计各增加117.33万元，增长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303.57%。主要原因是编制内充盈事业人员，人员数量较上年增幅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较大。</w:t>
      </w:r>
    </w:p>
    <w:p>
      <w:pPr>
        <w:spacing w:before="83" w:line="226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五、一般公共预算支出预算情况说明</w:t>
      </w:r>
    </w:p>
    <w:p>
      <w:pPr>
        <w:spacing w:before="101" w:line="327" w:lineRule="auto"/>
        <w:ind w:left="111" w:right="412" w:firstLine="639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锡林郭勒盟审计局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综合保障中心</w:t>
      </w:r>
      <w:r>
        <w:rPr>
          <w:rFonts w:ascii="仿宋" w:hAnsi="仿宋" w:eastAsia="仿宋" w:cs="仿宋"/>
          <w:spacing w:val="8"/>
          <w:sz w:val="31"/>
          <w:szCs w:val="31"/>
        </w:rPr>
        <w:t>2023年一般公共预算财政拨款支出预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算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155.98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万元，与上年相比增加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117.33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303.57</w:t>
      </w:r>
      <w:r>
        <w:rPr>
          <w:rFonts w:ascii="仿宋" w:hAnsi="仿宋" w:eastAsia="仿宋" w:cs="仿宋"/>
          <w:spacing w:val="8"/>
          <w:sz w:val="31"/>
          <w:szCs w:val="31"/>
        </w:rPr>
        <w:t>%。主要原因是：</w:t>
      </w:r>
      <w:r>
        <w:rPr>
          <w:rFonts w:hint="eastAsia" w:ascii="仿宋" w:hAnsi="仿宋" w:eastAsia="仿宋" w:cs="仿宋"/>
          <w:spacing w:val="8"/>
          <w:sz w:val="31"/>
          <w:szCs w:val="31"/>
        </w:rPr>
        <w:t>　事业单位 人员增加及工资普调。</w:t>
      </w:r>
    </w:p>
    <w:p>
      <w:pPr>
        <w:spacing w:before="101" w:line="327" w:lineRule="auto"/>
        <w:ind w:left="111" w:right="412" w:firstLine="639"/>
      </w:pPr>
    </w:p>
    <w:p>
      <w:pPr>
        <w:spacing w:before="241" w:line="228" w:lineRule="auto"/>
        <w:ind w:left="76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1.一般公共服类</w:t>
      </w:r>
    </w:p>
    <w:p>
      <w:pPr>
        <w:pStyle w:val="3"/>
        <w:spacing w:line="264" w:lineRule="auto"/>
      </w:pPr>
    </w:p>
    <w:p>
      <w:pPr>
        <w:spacing w:before="101" w:line="222" w:lineRule="auto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）审计事务（款）机关服务（项</w:t>
      </w:r>
      <w:r>
        <w:rPr>
          <w:rFonts w:ascii="仿宋" w:hAnsi="仿宋" w:eastAsia="仿宋" w:cs="仿宋"/>
          <w:sz w:val="31"/>
          <w:szCs w:val="31"/>
        </w:rPr>
        <w:t>），</w:t>
      </w:r>
      <w:r>
        <w:rPr>
          <w:rFonts w:ascii="仿宋" w:hAnsi="仿宋" w:eastAsia="仿宋" w:cs="仿宋"/>
          <w:spacing w:val="3"/>
          <w:sz w:val="31"/>
          <w:szCs w:val="31"/>
        </w:rPr>
        <w:t>年初预算126.3万</w:t>
      </w:r>
    </w:p>
    <w:p>
      <w:pPr>
        <w:spacing w:before="187" w:line="303" w:lineRule="auto"/>
        <w:ind w:left="111" w:right="570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元。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比上年增加96.48万元，增加323.54%。主要</w:t>
      </w:r>
      <w:r>
        <w:rPr>
          <w:rFonts w:ascii="仿宋" w:hAnsi="仿宋" w:eastAsia="仿宋" w:cs="仿宋"/>
          <w:spacing w:val="4"/>
          <w:sz w:val="31"/>
          <w:szCs w:val="31"/>
        </w:rPr>
        <w:t>是因为事业单位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人员增加及工资普调。</w:t>
      </w:r>
    </w:p>
    <w:p>
      <w:pPr>
        <w:spacing w:before="324" w:line="226" w:lineRule="auto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2.社会保障和就类</w:t>
      </w:r>
    </w:p>
    <w:p>
      <w:pPr>
        <w:pStyle w:val="3"/>
        <w:spacing w:line="269" w:lineRule="auto"/>
      </w:pPr>
    </w:p>
    <w:p>
      <w:pPr>
        <w:spacing w:before="101" w:line="323" w:lineRule="auto"/>
        <w:ind w:left="16" w:right="411" w:firstLine="6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1）行政事业单位养老支出（款）机关事业单位基本养老保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险缴费支出（项</w:t>
      </w:r>
      <w:r>
        <w:rPr>
          <w:rFonts w:ascii="仿宋" w:hAnsi="仿宋" w:eastAsia="仿宋" w:cs="仿宋"/>
          <w:spacing w:val="-2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年初预算10.64万元，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比增加7.32万元，增加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220.48%。主要是由于人员增加及工资普调养老保险基数增大。</w:t>
      </w:r>
    </w:p>
    <w:p>
      <w:pPr>
        <w:spacing w:before="241" w:line="228" w:lineRule="auto"/>
        <w:ind w:left="52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3.卫生健康支出类</w:t>
      </w:r>
    </w:p>
    <w:p>
      <w:pPr>
        <w:pStyle w:val="3"/>
        <w:spacing w:line="264" w:lineRule="auto"/>
      </w:pPr>
    </w:p>
    <w:p>
      <w:pPr>
        <w:spacing w:before="101" w:line="324" w:lineRule="auto"/>
        <w:ind w:left="13" w:right="570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公共卫生（款）突发公共卫生事件应急处理（</w:t>
      </w:r>
      <w:r>
        <w:rPr>
          <w:rFonts w:ascii="仿宋" w:hAnsi="仿宋" w:eastAsia="仿宋" w:cs="仿宋"/>
          <w:spacing w:val="8"/>
          <w:sz w:val="31"/>
          <w:szCs w:val="31"/>
        </w:rPr>
        <w:t>项</w:t>
      </w:r>
      <w:r>
        <w:rPr>
          <w:rFonts w:ascii="仿宋" w:hAnsi="仿宋" w:eastAsia="仿宋" w:cs="仿宋"/>
          <w:spacing w:val="16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本年预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算2.3万元，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比上年增加2.3万元，增长100%。主要是上年结转疫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情防控经费未支出部分，本年继续使用。</w:t>
      </w:r>
    </w:p>
    <w:p>
      <w:pPr>
        <w:spacing w:before="240" w:line="323" w:lineRule="auto"/>
        <w:ind w:left="11" w:right="41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卫生健康支出（款）事业单位医疗（项</w:t>
      </w:r>
      <w:r>
        <w:rPr>
          <w:rFonts w:ascii="仿宋" w:hAnsi="仿宋" w:eastAsia="仿宋" w:cs="仿宋"/>
          <w:spacing w:val="16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本年预算3.</w:t>
      </w:r>
      <w:r>
        <w:rPr>
          <w:rFonts w:ascii="仿宋" w:hAnsi="仿宋" w:eastAsia="仿宋" w:cs="仿宋"/>
          <w:spacing w:val="7"/>
          <w:sz w:val="31"/>
          <w:szCs w:val="31"/>
        </w:rPr>
        <w:t>98万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元，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比上年增加2.62万元，增长192.65%。主要是因为人员增加及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工资普调医疗保险基数增大。</w:t>
      </w:r>
    </w:p>
    <w:p>
      <w:pPr>
        <w:spacing w:before="238" w:line="324" w:lineRule="auto"/>
        <w:ind w:right="57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卫生健康支出（款）公务员医疗补助（项</w:t>
      </w:r>
      <w:r>
        <w:rPr>
          <w:rFonts w:ascii="仿宋" w:hAnsi="仿宋" w:eastAsia="仿宋" w:cs="仿宋"/>
          <w:spacing w:val="16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本年预算</w:t>
      </w:r>
      <w:r>
        <w:rPr>
          <w:rFonts w:ascii="仿宋" w:hAnsi="仿宋" w:eastAsia="仿宋" w:cs="仿宋"/>
          <w:spacing w:val="7"/>
          <w:sz w:val="31"/>
          <w:szCs w:val="31"/>
        </w:rPr>
        <w:t>0.61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比上年增加0.4万元，增加190.48%。主要是因为人员</w:t>
      </w:r>
      <w:r>
        <w:rPr>
          <w:rFonts w:ascii="仿宋" w:hAnsi="仿宋" w:eastAsia="仿宋" w:cs="仿宋"/>
          <w:spacing w:val="5"/>
          <w:sz w:val="31"/>
          <w:szCs w:val="31"/>
        </w:rPr>
        <w:t>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及工资普调公务员医疗补助基数增大。</w:t>
      </w:r>
    </w:p>
    <w:p>
      <w:pPr>
        <w:spacing w:before="240" w:line="226" w:lineRule="auto"/>
        <w:ind w:left="51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4.住房保障支出类</w:t>
      </w:r>
    </w:p>
    <w:p>
      <w:pPr>
        <w:pStyle w:val="3"/>
        <w:spacing w:line="269" w:lineRule="auto"/>
      </w:pPr>
    </w:p>
    <w:p>
      <w:pPr>
        <w:spacing w:before="102" w:line="296" w:lineRule="auto"/>
        <w:ind w:left="10" w:right="41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4）住房改革支出（款）住房公积金（项</w:t>
      </w:r>
      <w:r>
        <w:rPr>
          <w:rFonts w:ascii="仿宋" w:hAnsi="仿宋" w:eastAsia="仿宋" w:cs="仿宋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本年预算10.1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比上增加7.61万元，增加305</w:t>
      </w:r>
      <w:r>
        <w:rPr>
          <w:rFonts w:ascii="仿宋" w:hAnsi="仿宋" w:eastAsia="仿宋" w:cs="仿宋"/>
          <w:spacing w:val="5"/>
          <w:sz w:val="31"/>
          <w:szCs w:val="31"/>
        </w:rPr>
        <w:t>.62%。主要是单位人员增加及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住房公积金缴费基数调整。</w:t>
      </w:r>
    </w:p>
    <w:p>
      <w:pPr>
        <w:pStyle w:val="3"/>
        <w:spacing w:line="273" w:lineRule="auto"/>
      </w:pPr>
    </w:p>
    <w:p>
      <w:pPr>
        <w:spacing w:before="101" w:line="297" w:lineRule="auto"/>
        <w:ind w:right="41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5）住房改革支出（款）购房补贴（项</w:t>
      </w:r>
      <w:r>
        <w:rPr>
          <w:rFonts w:ascii="仿宋" w:hAnsi="仿宋" w:eastAsia="仿宋" w:cs="仿宋"/>
          <w:spacing w:val="-3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本年预算2.05万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比上年增加0.6万元，增长41.38。主要是由于事业单位人员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增加。</w:t>
      </w:r>
    </w:p>
    <w:p>
      <w:pPr>
        <w:spacing w:before="217" w:line="226" w:lineRule="auto"/>
        <w:ind w:left="5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六、一般公共预算基本支出预算情况说明</w:t>
      </w:r>
    </w:p>
    <w:p>
      <w:pPr>
        <w:spacing w:before="325" w:line="318" w:lineRule="auto"/>
        <w:ind w:right="37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本单位2023年度一般公共预算财政拨款基本支出预算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153.68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元，其中：</w:t>
      </w:r>
    </w:p>
    <w:p>
      <w:pPr>
        <w:spacing w:before="238" w:line="306" w:lineRule="auto"/>
        <w:ind w:left="107" w:right="570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一）人员经费114.1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6"/>
          <w:sz w:val="31"/>
          <w:szCs w:val="31"/>
        </w:rPr>
        <w:t>万元。主要包括：基本工资、津贴补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贴、奖金、绩效工资、机关事业单位基本养老保险缴费、职工基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本医疗保险缴费、公务员医疗补助缴费、其他社会保障缴费、住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房公积金、其他工资福利支出、奖励金等。</w:t>
      </w:r>
    </w:p>
    <w:p>
      <w:pPr>
        <w:pStyle w:val="3"/>
        <w:spacing w:line="273" w:lineRule="auto"/>
      </w:pPr>
    </w:p>
    <w:p>
      <w:pPr>
        <w:spacing w:before="101" w:line="323" w:lineRule="auto"/>
        <w:ind w:left="112" w:right="411" w:firstLine="6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二）公用经费39.49万元。主要包括：办公费、手续费、邮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电费、差旅费、维修（护）费、工会经费、福利费、其他商品和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服务支出、办公设备购置及公务用车购置等。</w:t>
      </w:r>
    </w:p>
    <w:p>
      <w:pPr>
        <w:spacing w:before="86" w:line="226" w:lineRule="auto"/>
        <w:ind w:left="62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七、一般公共预算“三公”经费支出预算情况说明</w:t>
      </w:r>
    </w:p>
    <w:p>
      <w:pPr>
        <w:pStyle w:val="3"/>
        <w:spacing w:line="274" w:lineRule="auto"/>
      </w:pPr>
    </w:p>
    <w:p>
      <w:pPr>
        <w:spacing w:before="101" w:line="324" w:lineRule="auto"/>
        <w:ind w:right="370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财政拨款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三公”经费支出预算25万元，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比上年预算增加25万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元，增长100%；本年预算比上年执行数增加25万元</w:t>
      </w:r>
      <w:r>
        <w:rPr>
          <w:rFonts w:ascii="仿宋" w:hAnsi="仿宋" w:eastAsia="仿宋" w:cs="仿宋"/>
          <w:spacing w:val="7"/>
          <w:sz w:val="31"/>
          <w:szCs w:val="31"/>
        </w:rPr>
        <w:t>，增长100%。其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中：</w:t>
      </w:r>
    </w:p>
    <w:p>
      <w:pPr>
        <w:spacing w:before="240" w:line="323" w:lineRule="auto"/>
        <w:ind w:left="103" w:right="411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因公出国（境）费用0万元，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比上年预算数增加0万元，</w:t>
      </w:r>
      <w:r>
        <w:rPr>
          <w:rFonts w:ascii="仿宋" w:hAnsi="仿宋" w:eastAsia="仿宋" w:cs="仿宋"/>
          <w:spacing w:val="4"/>
          <w:sz w:val="31"/>
          <w:szCs w:val="31"/>
        </w:rPr>
        <w:t>增长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0%，本年预算比上年执行数增加0万元，增长0%。主</w:t>
      </w:r>
      <w:r>
        <w:rPr>
          <w:rFonts w:ascii="仿宋" w:hAnsi="仿宋" w:eastAsia="仿宋" w:cs="仿宋"/>
          <w:spacing w:val="8"/>
          <w:sz w:val="31"/>
          <w:szCs w:val="31"/>
        </w:rPr>
        <w:t>要是由于我单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位无因公出国（境）财政拨款预算及活动。</w:t>
      </w:r>
    </w:p>
    <w:p>
      <w:pPr>
        <w:spacing w:before="241" w:line="323" w:lineRule="auto"/>
        <w:ind w:left="121" w:right="40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公务接待费0万元，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比上年预算数减少0万元，下降0%，本年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预算比上年执行数增加0万元，增长0%。主要是因为本单位做为二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级单位未安排公务接待费预算。</w:t>
      </w:r>
    </w:p>
    <w:p>
      <w:pPr>
        <w:spacing w:before="243" w:line="323" w:lineRule="auto"/>
        <w:ind w:left="108" w:right="570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3.公务用车购置及运行维护费25万元，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比上年预算增长25万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元，增长100%，本年预算比上年执行数增加25万元，增长100%。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其中，公务用车购置25万元，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比上年预算增加25万元，增长</w:t>
      </w:r>
    </w:p>
    <w:p>
      <w:pPr>
        <w:spacing w:before="54" w:line="221" w:lineRule="auto"/>
        <w:ind w:left="1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100%，本年预算比上年执行数增加25万元，增长100%。主要是由</w:t>
      </w:r>
    </w:p>
    <w:p>
      <w:pPr>
        <w:spacing w:before="136" w:line="122" w:lineRule="exact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_x0000_s1026" o:spid="_x0000_s1025" type="#_x0000_t202" style="position:absolute;left:0;margin-left:463.2pt;margin-top:2.95pt;height:11pt;width:10.05pt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18"/>
                      <w:szCs w:val="18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6"/>
          <w:position w:val="-3"/>
          <w:sz w:val="18"/>
          <w:szCs w:val="18"/>
        </w:rPr>
        <w:t>-</w:t>
      </w:r>
      <w:r>
        <w:rPr>
          <w:rFonts w:ascii="宋体" w:hAnsi="宋体" w:eastAsia="宋体" w:cs="宋体"/>
          <w:spacing w:val="1"/>
          <w:position w:val="-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6"/>
          <w:position w:val="-3"/>
          <w:sz w:val="18"/>
          <w:szCs w:val="18"/>
        </w:rPr>
        <w:t>-</w:t>
      </w:r>
    </w:p>
    <w:p>
      <w:pPr>
        <w:spacing w:line="122" w:lineRule="exact"/>
        <w:sectPr>
          <w:footerReference r:id="rId11" w:type="default"/>
          <w:pgSz w:w="11910" w:h="16840"/>
          <w:pgMar w:top="1431" w:right="1020" w:bottom="1132" w:left="1264" w:header="0" w:footer="953" w:gutter="0"/>
          <w:cols w:space="720" w:num="1"/>
        </w:sectPr>
      </w:pPr>
    </w:p>
    <w:p>
      <w:pPr>
        <w:spacing w:before="324" w:line="220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于我单位本年按照公车配置标准要购置1辆公务用车。</w:t>
      </w:r>
    </w:p>
    <w:p>
      <w:pPr>
        <w:pStyle w:val="3"/>
        <w:spacing w:line="276" w:lineRule="auto"/>
      </w:pPr>
    </w:p>
    <w:p>
      <w:pPr>
        <w:spacing w:before="101" w:line="220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公务用车运行维护费0万元，本年预算比上年预算增加0万</w:t>
      </w:r>
    </w:p>
    <w:p>
      <w:pPr>
        <w:spacing w:before="192" w:line="317" w:lineRule="auto"/>
        <w:ind w:left="180" w:right="411" w:hanging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元，增长0%，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比上年执行数增加0万元，增长0%。主要是由于</w:t>
      </w:r>
      <w:r>
        <w:rPr>
          <w:rFonts w:ascii="仿宋" w:hAnsi="仿宋" w:eastAsia="仿宋" w:cs="仿宋"/>
          <w:spacing w:val="5"/>
          <w:sz w:val="31"/>
          <w:szCs w:val="31"/>
        </w:rPr>
        <w:t>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申报时，本单位无公务车未安排公务用车运维费。</w:t>
      </w:r>
    </w:p>
    <w:p>
      <w:pPr>
        <w:spacing w:before="87" w:line="226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八、政府性基金预算支出预算情况说明</w:t>
      </w:r>
    </w:p>
    <w:p>
      <w:pPr>
        <w:pStyle w:val="3"/>
        <w:spacing w:line="277" w:lineRule="auto"/>
      </w:pPr>
    </w:p>
    <w:p>
      <w:pPr>
        <w:spacing w:before="101" w:line="317" w:lineRule="auto"/>
        <w:ind w:left="17" w:right="3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政府性基金预算财政拨款0万元，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比上年预算数增加0万元，增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长0%。主要是我单位无政府性基金财政拨款预算。</w:t>
      </w:r>
    </w:p>
    <w:p>
      <w:pPr>
        <w:spacing w:before="86" w:line="226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九、国有资本经营预算支出预算情况说明</w:t>
      </w:r>
    </w:p>
    <w:p>
      <w:pPr>
        <w:pStyle w:val="3"/>
        <w:spacing w:line="274" w:lineRule="auto"/>
      </w:pPr>
    </w:p>
    <w:p>
      <w:pPr>
        <w:spacing w:before="101" w:line="319" w:lineRule="auto"/>
        <w:ind w:left="144" w:right="89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国有资本经营预算财政拨款0万元，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比上年预算数增加0万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元，增长0%。主要是我单位无国有资本经营财政拨款预算。</w:t>
      </w:r>
    </w:p>
    <w:p>
      <w:pPr>
        <w:spacing w:before="80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十、项目支出预算情况说明</w:t>
      </w:r>
    </w:p>
    <w:p>
      <w:pPr>
        <w:spacing w:before="221" w:line="347" w:lineRule="auto"/>
        <w:ind w:left="14" w:right="116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我单位本年度预算安排项目1个，项目预算总金额2.3万元。其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中，财政本年拨款金额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万元，财政拨款结转结余</w:t>
      </w:r>
      <w:r>
        <w:rPr>
          <w:rFonts w:ascii="Times New Roman" w:hAnsi="Times New Roman" w:eastAsia="Times New Roman" w:cs="Times New Roman"/>
          <w:spacing w:val="8"/>
          <w:sz w:val="31"/>
          <w:szCs w:val="31"/>
          <w:u w:val="single" w:color="auto"/>
        </w:rPr>
        <w:t>2.3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万元，财政专户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管理资金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万元，单位资金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>0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before="22" w:line="318" w:lineRule="auto"/>
        <w:ind w:left="997" w:right="4211" w:hanging="3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一）包联（小区）疫情防控经费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项目概述</w:t>
      </w:r>
    </w:p>
    <w:p>
      <w:pPr>
        <w:spacing w:before="52" w:line="319" w:lineRule="auto"/>
        <w:ind w:left="13" w:right="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本项目主要是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10"/>
          <w:sz w:val="31"/>
          <w:szCs w:val="31"/>
        </w:rPr>
        <w:t>年新冠疫情防控经费结转部分，本年度继续使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用。</w:t>
      </w:r>
    </w:p>
    <w:p>
      <w:pPr>
        <w:spacing w:before="47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sz w:val="31"/>
          <w:szCs w:val="31"/>
        </w:rPr>
        <w:t>立项依据</w:t>
      </w:r>
    </w:p>
    <w:p>
      <w:pPr>
        <w:spacing w:before="189" w:line="316" w:lineRule="auto"/>
        <w:ind w:left="11" w:right="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本级财政根据上年单位参与新冠疫情防控单位投入人员、费用等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核拨经费结转至本年继续使用。</w:t>
      </w:r>
    </w:p>
    <w:p>
      <w:pPr>
        <w:spacing w:before="56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实施主体</w:t>
      </w:r>
    </w:p>
    <w:p>
      <w:pPr>
        <w:spacing w:before="188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锡林郭勒盟审计局综合保障中心。</w:t>
      </w:r>
    </w:p>
    <w:p>
      <w:pPr>
        <w:pStyle w:val="3"/>
        <w:spacing w:line="388" w:lineRule="auto"/>
      </w:pPr>
    </w:p>
    <w:p>
      <w:pPr>
        <w:spacing w:before="59" w:line="15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-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12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-</w:t>
      </w:r>
    </w:p>
    <w:p>
      <w:pPr>
        <w:spacing w:line="157" w:lineRule="auto"/>
        <w:sectPr>
          <w:footerReference r:id="rId12" w:type="default"/>
          <w:pgSz w:w="11910" w:h="16840"/>
          <w:pgMar w:top="1431" w:right="1020" w:bottom="970" w:left="1240" w:header="0" w:footer="960" w:gutter="0"/>
          <w:cols w:space="720" w:num="1"/>
        </w:sectPr>
      </w:pPr>
    </w:p>
    <w:p>
      <w:pPr>
        <w:spacing w:before="325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实施方案</w:t>
      </w:r>
    </w:p>
    <w:p>
      <w:pPr>
        <w:spacing w:before="185" w:line="219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根据结转经费金额用于单位日常消杀及其他卫生健康类支出。</w:t>
      </w:r>
    </w:p>
    <w:p>
      <w:pPr>
        <w:spacing w:before="194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5.</w:t>
      </w:r>
      <w:r>
        <w:rPr>
          <w:rFonts w:ascii="仿宋" w:hAnsi="仿宋" w:eastAsia="仿宋" w:cs="仿宋"/>
          <w:spacing w:val="5"/>
          <w:sz w:val="31"/>
          <w:szCs w:val="31"/>
        </w:rPr>
        <w:t>实施周期</w:t>
      </w:r>
    </w:p>
    <w:p>
      <w:pPr>
        <w:spacing w:before="186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自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日至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z w:val="31"/>
          <w:szCs w:val="31"/>
        </w:rPr>
        <w:t>12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>日。</w:t>
      </w:r>
    </w:p>
    <w:p>
      <w:pPr>
        <w:spacing w:before="185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6.</w:t>
      </w:r>
      <w:r>
        <w:rPr>
          <w:rFonts w:ascii="仿宋" w:hAnsi="仿宋" w:eastAsia="仿宋" w:cs="仿宋"/>
          <w:spacing w:val="6"/>
          <w:sz w:val="31"/>
          <w:szCs w:val="31"/>
        </w:rPr>
        <w:t>年度预算安排</w:t>
      </w:r>
    </w:p>
    <w:p>
      <w:pPr>
        <w:spacing w:before="189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6"/>
          <w:sz w:val="31"/>
          <w:szCs w:val="31"/>
        </w:rPr>
        <w:t>年该项目预算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2.3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17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十一、一般公共预算机关运行经费支出预算情况说明</w:t>
      </w:r>
    </w:p>
    <w:p>
      <w:pPr>
        <w:spacing w:before="219" w:line="347" w:lineRule="auto"/>
        <w:ind w:left="9" w:right="21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2023年，我单位机关运行经费财政拨款预算39.49万元，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增加35.91万元，增长1003.07%。主要原因是我单位属于上</w:t>
      </w:r>
      <w:r>
        <w:rPr>
          <w:rFonts w:ascii="仿宋" w:hAnsi="仿宋" w:eastAsia="仿宋" w:cs="仿宋"/>
          <w:spacing w:val="7"/>
          <w:sz w:val="31"/>
          <w:szCs w:val="31"/>
        </w:rPr>
        <w:t>年新成立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单位，需要配备办公设备及公务用车等申报预算较多。</w:t>
      </w:r>
    </w:p>
    <w:p>
      <w:pPr>
        <w:spacing w:before="55" w:line="342" w:lineRule="auto"/>
        <w:ind w:left="24" w:right="5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主要包括以下支出：办公费4万元、手续费0.06万元、邮电费1万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元、差旅费1.7万元、维修（护）费0.58万元、工会经费1.68万元，</w:t>
      </w:r>
    </w:p>
    <w:p>
      <w:pPr>
        <w:spacing w:before="51" w:line="341" w:lineRule="auto"/>
        <w:ind w:left="24" w:right="51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福利费1.46万元，其他商品和服务支出0.5万元、办公设备购置3.</w:t>
      </w:r>
      <w:r>
        <w:rPr>
          <w:rFonts w:ascii="仿宋" w:hAnsi="仿宋" w:eastAsia="仿宋" w:cs="仿宋"/>
          <w:spacing w:val="7"/>
          <w:sz w:val="31"/>
          <w:szCs w:val="31"/>
        </w:rPr>
        <w:t>5万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元、公务用车购置25万元。</w:t>
      </w:r>
    </w:p>
    <w:p>
      <w:pPr>
        <w:spacing w:before="54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十二、政府采购支出预算情况说明</w:t>
      </w:r>
    </w:p>
    <w:p>
      <w:pPr>
        <w:spacing w:before="190" w:line="323" w:lineRule="auto"/>
        <w:ind w:left="11" w:right="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政府采购预算总额</w:t>
      </w:r>
      <w:r>
        <w:rPr>
          <w:rFonts w:hint="eastAsia" w:ascii="宋体" w:hAnsi="宋体" w:eastAsia="宋体" w:cs="宋体"/>
          <w:spacing w:val="16"/>
          <w:sz w:val="31"/>
          <w:szCs w:val="31"/>
          <w:lang w:val="en-US" w:eastAsia="zh-CN"/>
        </w:rPr>
        <w:t>25</w:t>
      </w:r>
      <w:r>
        <w:rPr>
          <w:rFonts w:ascii="仿宋" w:hAnsi="仿宋" w:eastAsia="仿宋" w:cs="仿宋"/>
          <w:spacing w:val="16"/>
          <w:sz w:val="31"/>
          <w:szCs w:val="31"/>
        </w:rPr>
        <w:t>万元，其中：政府采购货物预算</w:t>
      </w:r>
      <w:r>
        <w:rPr>
          <w:rFonts w:ascii="宋体" w:hAnsi="宋体" w:eastAsia="宋体" w:cs="宋体"/>
          <w:spacing w:val="16"/>
          <w:sz w:val="31"/>
          <w:szCs w:val="31"/>
        </w:rPr>
        <w:t>25</w:t>
      </w:r>
      <w:r>
        <w:rPr>
          <w:rFonts w:ascii="仿宋" w:hAnsi="仿宋" w:eastAsia="仿宋" w:cs="仿宋"/>
          <w:spacing w:val="16"/>
          <w:sz w:val="31"/>
          <w:szCs w:val="31"/>
        </w:rPr>
        <w:t>万元，政</w:t>
      </w:r>
      <w:r>
        <w:rPr>
          <w:rFonts w:ascii="仿宋" w:hAnsi="仿宋" w:eastAsia="仿宋" w:cs="仿宋"/>
          <w:spacing w:val="11"/>
          <w:sz w:val="31"/>
          <w:szCs w:val="31"/>
        </w:rPr>
        <w:t>府采购工程预算</w:t>
      </w:r>
      <w:r>
        <w:rPr>
          <w:rFonts w:ascii="宋体" w:hAnsi="宋体" w:eastAsia="宋体" w:cs="宋体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11"/>
          <w:sz w:val="31"/>
          <w:szCs w:val="31"/>
        </w:rPr>
        <w:t>万元，政府采购服务预算</w:t>
      </w:r>
      <w:r>
        <w:rPr>
          <w:rFonts w:ascii="宋体" w:hAnsi="宋体" w:eastAsia="宋体" w:cs="宋体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11"/>
          <w:sz w:val="31"/>
          <w:szCs w:val="31"/>
        </w:rPr>
        <w:t>万元。主</w:t>
      </w:r>
      <w:bookmarkStart w:id="0" w:name="_GoBack"/>
      <w:bookmarkEnd w:id="0"/>
      <w:r>
        <w:rPr>
          <w:rFonts w:ascii="仿宋" w:hAnsi="仿宋" w:eastAsia="仿宋" w:cs="仿宋"/>
          <w:spacing w:val="11"/>
          <w:sz w:val="31"/>
          <w:szCs w:val="31"/>
        </w:rPr>
        <w:t>要</w:t>
      </w:r>
      <w:r>
        <w:rPr>
          <w:rFonts w:ascii="仿宋" w:hAnsi="仿宋" w:eastAsia="仿宋" w:cs="仿宋"/>
          <w:spacing w:val="10"/>
          <w:sz w:val="31"/>
          <w:szCs w:val="31"/>
        </w:rPr>
        <w:t>是用上年结转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公务用车购置费在本年内完成公务用车购置。</w:t>
      </w:r>
    </w:p>
    <w:p>
      <w:pPr>
        <w:spacing w:before="52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十三、国有资产占用情况说明</w:t>
      </w:r>
    </w:p>
    <w:p>
      <w:pPr>
        <w:spacing w:before="184" w:line="326" w:lineRule="auto"/>
        <w:ind w:left="18" w:right="1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因我单位是</w:t>
      </w:r>
      <w:r>
        <w:rPr>
          <w:rFonts w:ascii="宋体" w:hAnsi="宋体" w:eastAsia="宋体" w:cs="宋体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9"/>
          <w:sz w:val="31"/>
          <w:szCs w:val="31"/>
        </w:rPr>
        <w:t>年事业单位改革后新成立的独立核算事业单位，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截至</w:t>
      </w:r>
      <w:r>
        <w:rPr>
          <w:rFonts w:ascii="宋体" w:hAnsi="宋体" w:eastAsia="宋体" w:cs="宋体"/>
          <w:spacing w:val="15"/>
          <w:sz w:val="31"/>
          <w:szCs w:val="31"/>
        </w:rPr>
        <w:t>2022</w:t>
      </w:r>
      <w:r>
        <w:rPr>
          <w:rFonts w:ascii="仿宋" w:hAnsi="仿宋" w:eastAsia="仿宋" w:cs="仿宋"/>
          <w:spacing w:val="15"/>
          <w:sz w:val="31"/>
          <w:szCs w:val="31"/>
        </w:rPr>
        <w:t>年末，无公务用车，无价值</w:t>
      </w:r>
      <w:r>
        <w:rPr>
          <w:rFonts w:ascii="宋体" w:hAnsi="宋体" w:eastAsia="宋体" w:cs="宋体"/>
          <w:spacing w:val="15"/>
          <w:sz w:val="31"/>
          <w:szCs w:val="31"/>
        </w:rPr>
        <w:t>200</w:t>
      </w:r>
      <w:r>
        <w:rPr>
          <w:rFonts w:ascii="仿宋" w:hAnsi="仿宋" w:eastAsia="仿宋" w:cs="仿宋"/>
          <w:spacing w:val="15"/>
          <w:sz w:val="31"/>
          <w:szCs w:val="31"/>
        </w:rPr>
        <w:t>万</w:t>
      </w:r>
      <w:r>
        <w:rPr>
          <w:rFonts w:ascii="仿宋" w:hAnsi="仿宋" w:eastAsia="仿宋" w:cs="仿宋"/>
          <w:spacing w:val="14"/>
          <w:sz w:val="31"/>
          <w:szCs w:val="31"/>
        </w:rPr>
        <w:t>元以上大型设备，无单价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50</w:t>
      </w:r>
      <w:r>
        <w:rPr>
          <w:rFonts w:ascii="仿宋" w:hAnsi="仿宋" w:eastAsia="仿宋" w:cs="仿宋"/>
          <w:spacing w:val="15"/>
          <w:sz w:val="31"/>
          <w:szCs w:val="31"/>
        </w:rPr>
        <w:t>万元（含）以上的通用设备，单价</w:t>
      </w:r>
      <w:r>
        <w:rPr>
          <w:rFonts w:ascii="宋体" w:hAnsi="宋体" w:eastAsia="宋体" w:cs="宋体"/>
          <w:spacing w:val="15"/>
          <w:sz w:val="31"/>
          <w:szCs w:val="31"/>
        </w:rPr>
        <w:t>100</w:t>
      </w:r>
      <w:r>
        <w:rPr>
          <w:rFonts w:ascii="仿宋" w:hAnsi="仿宋" w:eastAsia="仿宋" w:cs="仿宋"/>
          <w:spacing w:val="15"/>
          <w:sz w:val="31"/>
          <w:szCs w:val="31"/>
        </w:rPr>
        <w:t>万元（含）以上的专用设备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等。</w:t>
      </w:r>
    </w:p>
    <w:p>
      <w:pPr>
        <w:spacing w:before="48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十四、项目绩效目标情况说明</w:t>
      </w:r>
    </w:p>
    <w:p>
      <w:pPr>
        <w:pStyle w:val="3"/>
        <w:spacing w:line="270" w:lineRule="auto"/>
      </w:pPr>
    </w:p>
    <w:p>
      <w:pPr>
        <w:spacing w:before="59" w:line="184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-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13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-</w:t>
      </w:r>
    </w:p>
    <w:p>
      <w:pPr>
        <w:spacing w:line="184" w:lineRule="auto"/>
        <w:sectPr>
          <w:footerReference r:id="rId13" w:type="default"/>
          <w:pgSz w:w="11910" w:h="16840"/>
          <w:pgMar w:top="1431" w:right="1020" w:bottom="860" w:left="1240" w:header="0" w:footer="850" w:gutter="0"/>
          <w:cols w:space="720" w:num="1"/>
        </w:sectPr>
      </w:pPr>
    </w:p>
    <w:p>
      <w:pPr>
        <w:spacing w:before="322" w:line="324" w:lineRule="auto"/>
        <w:ind w:left="17" w:right="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2023</w:t>
      </w:r>
      <w:r>
        <w:rPr>
          <w:rFonts w:ascii="仿宋" w:hAnsi="仿宋" w:eastAsia="仿宋" w:cs="仿宋"/>
          <w:spacing w:val="10"/>
          <w:sz w:val="31"/>
          <w:szCs w:val="31"/>
        </w:rPr>
        <w:t>年，填报绩效目标的预算项目</w:t>
      </w:r>
      <w:r>
        <w:rPr>
          <w:rFonts w:ascii="宋体" w:hAnsi="宋体" w:eastAsia="宋体" w:cs="宋体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个，公开绩效目标</w:t>
      </w:r>
      <w:r>
        <w:rPr>
          <w:rFonts w:ascii="宋体" w:hAnsi="宋体" w:eastAsia="宋体" w:cs="宋体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个，公开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目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占全部预算项目的</w:t>
      </w:r>
      <w:r>
        <w:rPr>
          <w:rFonts w:ascii="宋体" w:hAnsi="宋体" w:eastAsia="宋体" w:cs="宋体"/>
          <w:spacing w:val="14"/>
          <w:sz w:val="31"/>
          <w:szCs w:val="31"/>
        </w:rPr>
        <w:t>100 %</w:t>
      </w:r>
      <w:r>
        <w:rPr>
          <w:rFonts w:ascii="仿宋" w:hAnsi="仿宋" w:eastAsia="仿宋" w:cs="仿宋"/>
          <w:spacing w:val="14"/>
          <w:sz w:val="31"/>
          <w:szCs w:val="31"/>
        </w:rPr>
        <w:t>。公开填报绩效目标的项目预算</w:t>
      </w:r>
      <w:r>
        <w:rPr>
          <w:rFonts w:ascii="宋体" w:hAnsi="宋体" w:eastAsia="宋体" w:cs="宋体"/>
          <w:spacing w:val="14"/>
          <w:sz w:val="31"/>
          <w:szCs w:val="31"/>
        </w:rPr>
        <w:t>2.3</w:t>
      </w:r>
      <w:r>
        <w:rPr>
          <w:rFonts w:ascii="仿宋" w:hAnsi="仿宋" w:eastAsia="仿宋" w:cs="仿宋"/>
          <w:spacing w:val="1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占全部项目预算的</w:t>
      </w:r>
      <w:r>
        <w:rPr>
          <w:rFonts w:ascii="宋体" w:hAnsi="宋体" w:eastAsia="宋体" w:cs="宋体"/>
          <w:spacing w:val="1"/>
          <w:sz w:val="31"/>
          <w:szCs w:val="31"/>
        </w:rPr>
        <w:t>100%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pStyle w:val="3"/>
        <w:spacing w:line="261" w:lineRule="auto"/>
      </w:pPr>
    </w:p>
    <w:p>
      <w:pPr>
        <w:pStyle w:val="3"/>
        <w:spacing w:line="261" w:lineRule="auto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_x0000_s1027" o:spid="_x0000_s1026" type="" style="position:absolute;left:0;margin-left:0pt;margin-top:10.55pt;height:0.5pt;width:482.5pt;rotation:0f;z-index:251659264;" o:ole="f" fillcolor="#FFFFFF" filled="t" o:preferrelative="t" stroked="f" coordorigin="0,0" coordsize="9650,10" path="m0,0l9650,0,9650,9,0,9,0,0xe"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113" w:line="495" w:lineRule="exact"/>
        <w:ind w:left="3616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35"/>
          <w:szCs w:val="35"/>
        </w:rPr>
        <w:t>第三部分</w:t>
      </w:r>
      <w:r>
        <w:rPr>
          <w:rFonts w:ascii="宋体" w:hAnsi="宋体" w:eastAsia="宋体" w:cs="宋体"/>
          <w:spacing w:val="11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35"/>
          <w:szCs w:val="35"/>
        </w:rPr>
        <w:t>名词解释</w:t>
      </w:r>
    </w:p>
    <w:p>
      <w:pPr>
        <w:spacing w:before="155" w:line="223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一、财政拨款：</w:t>
      </w:r>
      <w:r>
        <w:rPr>
          <w:rFonts w:ascii="仿宋" w:hAnsi="仿宋" w:eastAsia="仿宋" w:cs="仿宋"/>
          <w:spacing w:val="8"/>
          <w:sz w:val="31"/>
          <w:szCs w:val="31"/>
        </w:rPr>
        <w:t>部门</w:t>
      </w:r>
      <w:r>
        <w:rPr>
          <w:rFonts w:ascii="宋体" w:hAnsi="宋体" w:eastAsia="宋体" w:cs="宋体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单位从同级财政部门取得的各类财</w:t>
      </w:r>
      <w:r>
        <w:rPr>
          <w:rFonts w:ascii="仿宋" w:hAnsi="仿宋" w:eastAsia="仿宋" w:cs="仿宋"/>
          <w:spacing w:val="7"/>
          <w:sz w:val="31"/>
          <w:szCs w:val="31"/>
        </w:rPr>
        <w:t>政拨</w:t>
      </w:r>
    </w:p>
    <w:p>
      <w:pPr>
        <w:spacing w:before="228" w:line="342" w:lineRule="auto"/>
        <w:ind w:left="22" w:right="49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款，包括一般公共预算拨款、政府性基金预算拨款、国有资本经营预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算拨款。</w:t>
      </w:r>
    </w:p>
    <w:p>
      <w:pPr>
        <w:spacing w:before="50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二、一般公共预算拨款收入：</w:t>
      </w:r>
      <w:r>
        <w:rPr>
          <w:rFonts w:ascii="仿宋" w:hAnsi="仿宋" w:eastAsia="仿宋" w:cs="仿宋"/>
          <w:spacing w:val="7"/>
          <w:sz w:val="31"/>
          <w:szCs w:val="31"/>
        </w:rPr>
        <w:t>指市级财政当年拨付的资金。</w:t>
      </w:r>
    </w:p>
    <w:p>
      <w:pPr>
        <w:pStyle w:val="3"/>
        <w:spacing w:line="309" w:lineRule="auto"/>
      </w:pPr>
    </w:p>
    <w:p>
      <w:pPr>
        <w:pStyle w:val="3"/>
        <w:spacing w:line="310" w:lineRule="auto"/>
      </w:pPr>
    </w:p>
    <w:p>
      <w:pPr>
        <w:spacing w:before="100" w:line="278" w:lineRule="auto"/>
        <w:ind w:left="18" w:right="36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三、事业收入：</w:t>
      </w:r>
      <w:r>
        <w:rPr>
          <w:rFonts w:ascii="仿宋" w:hAnsi="仿宋" w:eastAsia="仿宋" w:cs="仿宋"/>
          <w:spacing w:val="8"/>
          <w:sz w:val="31"/>
          <w:szCs w:val="31"/>
        </w:rPr>
        <w:t>是指事业单位开展专业业务活动及辅助活动取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得的收入。</w:t>
      </w:r>
    </w:p>
    <w:p>
      <w:pPr>
        <w:pStyle w:val="3"/>
        <w:spacing w:line="274" w:lineRule="auto"/>
      </w:pPr>
    </w:p>
    <w:p>
      <w:pPr>
        <w:spacing w:before="102" w:line="222" w:lineRule="auto"/>
        <w:ind w:left="8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四、其他收入：</w:t>
      </w:r>
      <w:r>
        <w:rPr>
          <w:rFonts w:ascii="仿宋" w:hAnsi="仿宋" w:eastAsia="仿宋" w:cs="仿宋"/>
          <w:spacing w:val="5"/>
          <w:sz w:val="31"/>
          <w:szCs w:val="31"/>
        </w:rPr>
        <w:t>是指除上述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“一般公共预算财政拨款收入”、</w:t>
      </w:r>
    </w:p>
    <w:p>
      <w:pPr>
        <w:spacing w:before="187" w:line="221" w:lineRule="auto"/>
        <w:ind w:left="1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“事业收入”、“事业单位经营收入”等以外的收入。主要是指按规</w:t>
      </w:r>
    </w:p>
    <w:p>
      <w:pPr>
        <w:spacing w:before="189" w:line="220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定动用的售房收入、存款利息收入等。</w:t>
      </w:r>
    </w:p>
    <w:p>
      <w:pPr>
        <w:pStyle w:val="3"/>
        <w:spacing w:line="276" w:lineRule="auto"/>
      </w:pPr>
    </w:p>
    <w:p>
      <w:pPr>
        <w:spacing w:before="102" w:line="278" w:lineRule="auto"/>
        <w:ind w:left="124" w:right="558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五、上年结转和结余：</w:t>
      </w:r>
      <w:r>
        <w:rPr>
          <w:rFonts w:ascii="仿宋" w:hAnsi="仿宋" w:eastAsia="仿宋" w:cs="仿宋"/>
          <w:spacing w:val="8"/>
          <w:sz w:val="31"/>
          <w:szCs w:val="31"/>
        </w:rPr>
        <w:t>是指以前年度尚未完成、结转到本年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仍按原规定用途继续使用的资金。</w:t>
      </w:r>
    </w:p>
    <w:p>
      <w:pPr>
        <w:pStyle w:val="3"/>
        <w:spacing w:line="275" w:lineRule="auto"/>
      </w:pPr>
    </w:p>
    <w:p>
      <w:pPr>
        <w:spacing w:before="101" w:line="278" w:lineRule="auto"/>
        <w:ind w:left="139" w:right="56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七、基本支出：</w:t>
      </w:r>
      <w:r>
        <w:rPr>
          <w:rFonts w:ascii="仿宋" w:hAnsi="仿宋" w:eastAsia="仿宋" w:cs="仿宋"/>
          <w:spacing w:val="8"/>
          <w:sz w:val="31"/>
          <w:szCs w:val="31"/>
        </w:rPr>
        <w:t>是指为保障机构正常运转，完成日常工作任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务而发生的人员支出和共用支出。</w:t>
      </w:r>
    </w:p>
    <w:p>
      <w:pPr>
        <w:pStyle w:val="3"/>
        <w:spacing w:line="273" w:lineRule="auto"/>
      </w:pPr>
    </w:p>
    <w:p>
      <w:pPr>
        <w:spacing w:before="101" w:line="278" w:lineRule="auto"/>
        <w:ind w:left="143" w:right="56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八、项目支出</w:t>
      </w:r>
      <w:r>
        <w:rPr>
          <w:rFonts w:ascii="仿宋" w:hAnsi="仿宋" w:eastAsia="仿宋" w:cs="仿宋"/>
          <w:spacing w:val="8"/>
          <w:sz w:val="31"/>
          <w:szCs w:val="31"/>
        </w:rPr>
        <w:t>：是指基本支出之外，为完成特定行政任务和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事业发展目标所发生的支出。</w:t>
      </w:r>
    </w:p>
    <w:p>
      <w:pPr>
        <w:pStyle w:val="3"/>
        <w:spacing w:line="276" w:lineRule="auto"/>
      </w:pPr>
    </w:p>
    <w:p>
      <w:pPr>
        <w:spacing w:before="101" w:line="276" w:lineRule="auto"/>
        <w:ind w:left="137" w:right="23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九、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三公”经费：</w:t>
      </w:r>
      <w:r>
        <w:rPr>
          <w:rFonts w:ascii="仿宋" w:hAnsi="仿宋" w:eastAsia="仿宋" w:cs="仿宋"/>
          <w:spacing w:val="1"/>
          <w:sz w:val="31"/>
          <w:szCs w:val="31"/>
        </w:rPr>
        <w:t>纳入财政预决算管理的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三公”经费，是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指部门用财政拨款安排的因公出国（境）费、公务用车购置及运行</w:t>
      </w:r>
    </w:p>
    <w:p>
      <w:pPr>
        <w:spacing w:before="151" w:line="122" w:lineRule="exact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_x0000_s1028" o:spid="_x0000_s1027" type="#_x0000_t202" style="position:absolute;left:0;margin-left:464.45pt;margin-top:3.65pt;height:11pt;width:10.05pt;rotation:0f;z-index:25166028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18"/>
                      <w:szCs w:val="18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6"/>
          <w:position w:val="-3"/>
          <w:sz w:val="18"/>
          <w:szCs w:val="18"/>
        </w:rPr>
        <w:t>-</w:t>
      </w:r>
      <w:r>
        <w:rPr>
          <w:rFonts w:ascii="宋体" w:hAnsi="宋体" w:eastAsia="宋体" w:cs="宋体"/>
          <w:spacing w:val="1"/>
          <w:position w:val="-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6"/>
          <w:position w:val="-3"/>
          <w:sz w:val="18"/>
          <w:szCs w:val="18"/>
        </w:rPr>
        <w:t>-</w:t>
      </w:r>
    </w:p>
    <w:p>
      <w:pPr>
        <w:spacing w:line="122" w:lineRule="exact"/>
        <w:sectPr>
          <w:footerReference r:id="rId14" w:type="default"/>
          <w:pgSz w:w="11910" w:h="16840"/>
          <w:pgMar w:top="1431" w:right="1020" w:bottom="400" w:left="1240" w:header="0" w:footer="0" w:gutter="0"/>
          <w:cols w:space="720" w:num="1"/>
        </w:sectPr>
      </w:pPr>
    </w:p>
    <w:p>
      <w:pPr>
        <w:spacing w:before="324" w:line="318" w:lineRule="auto"/>
        <w:ind w:right="251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维护费、公务接待费。其中：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因公出国（境</w:t>
      </w:r>
      <w:r>
        <w:rPr>
          <w:rFonts w:ascii="仿宋" w:hAnsi="仿宋" w:eastAsia="仿宋" w:cs="仿宋"/>
          <w:spacing w:val="6"/>
          <w:sz w:val="31"/>
          <w:szCs w:val="31"/>
        </w:rPr>
        <w:t>）费反映单位公务出国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（境）的国际旅费、国内城市间交通费、住宿费</w:t>
      </w:r>
      <w:r>
        <w:rPr>
          <w:rFonts w:ascii="仿宋" w:hAnsi="仿宋" w:eastAsia="仿宋" w:cs="仿宋"/>
          <w:spacing w:val="9"/>
          <w:sz w:val="31"/>
          <w:szCs w:val="31"/>
        </w:rPr>
        <w:t>、伙食费、培训</w:t>
      </w:r>
    </w:p>
    <w:p>
      <w:pPr>
        <w:spacing w:before="52" w:line="220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费、公杂费等支出；公务用车购置费反映单位</w:t>
      </w:r>
      <w:r>
        <w:rPr>
          <w:rFonts w:ascii="仿宋" w:hAnsi="仿宋" w:eastAsia="仿宋" w:cs="仿宋"/>
          <w:spacing w:val="8"/>
          <w:sz w:val="31"/>
          <w:szCs w:val="31"/>
        </w:rPr>
        <w:t>公务员车购置支出</w:t>
      </w:r>
    </w:p>
    <w:p>
      <w:pPr>
        <w:spacing w:before="192" w:line="323" w:lineRule="auto"/>
        <w:ind w:left="13" w:right="251" w:hanging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（含车辆购置税</w:t>
      </w:r>
      <w:r>
        <w:rPr>
          <w:rFonts w:ascii="仿宋" w:hAnsi="仿宋" w:eastAsia="仿宋" w:cs="仿宋"/>
          <w:spacing w:val="-60"/>
          <w:sz w:val="31"/>
          <w:szCs w:val="31"/>
        </w:rPr>
        <w:t>）；</w:t>
      </w:r>
      <w:r>
        <w:rPr>
          <w:rFonts w:ascii="仿宋" w:hAnsi="仿宋" w:eastAsia="仿宋" w:cs="仿宋"/>
          <w:spacing w:val="9"/>
          <w:sz w:val="31"/>
          <w:szCs w:val="31"/>
        </w:rPr>
        <w:t>公务用车运行维护费反映单位按规定保留的公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务用车燃料费、维修费、保险费、过路过桥费、安全奖励费用等支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出；公务接待费反映单位按规定开支的各类公务接待（含外宾接</w:t>
      </w:r>
    </w:p>
    <w:p>
      <w:pPr>
        <w:spacing w:before="50"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待）支出。</w:t>
      </w:r>
    </w:p>
    <w:p>
      <w:pPr>
        <w:pStyle w:val="3"/>
        <w:spacing w:line="274" w:lineRule="auto"/>
      </w:pPr>
    </w:p>
    <w:p>
      <w:pPr>
        <w:spacing w:before="100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十、机关运行经费：</w:t>
      </w:r>
      <w:r>
        <w:rPr>
          <w:rFonts w:ascii="仿宋" w:hAnsi="仿宋" w:eastAsia="仿宋" w:cs="仿宋"/>
          <w:spacing w:val="8"/>
          <w:sz w:val="31"/>
          <w:szCs w:val="31"/>
        </w:rPr>
        <w:t>是指为保障行政单位（含参照公务</w:t>
      </w:r>
    </w:p>
    <w:p>
      <w:pPr>
        <w:pStyle w:val="3"/>
        <w:spacing w:line="275" w:lineRule="auto"/>
      </w:pPr>
    </w:p>
    <w:p>
      <w:pPr>
        <w:spacing w:before="102" w:line="328" w:lineRule="auto"/>
        <w:ind w:left="7" w:right="251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员法管理的事业单位）运行，用于购买货物和服务等的各项公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用经费，包括办公及印刷费、邮电费、差旅费、会议费、福利费、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日常维修费、专业材料及一般设备购置费、办公用房水电费、办公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用房取暖费、办公用房物业管理费、公务用车运行维护费以及其他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费用。</w:t>
      </w:r>
    </w:p>
    <w:p>
      <w:pPr>
        <w:spacing w:before="237" w:line="296" w:lineRule="auto"/>
        <w:ind w:left="10" w:right="22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十一、工资福利支出（支出经济分类科目类级</w:t>
      </w: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）：</w:t>
      </w:r>
      <w:r>
        <w:rPr>
          <w:rFonts w:ascii="仿宋" w:hAnsi="仿宋" w:eastAsia="仿宋" w:cs="仿宋"/>
          <w:spacing w:val="6"/>
          <w:sz w:val="31"/>
          <w:szCs w:val="31"/>
        </w:rPr>
        <w:t>反映单位开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支的在职职工和编制外长期聘用人员的各类活动报酬，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以及为上述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人员缴纳的各项社会保险费等。</w:t>
      </w:r>
    </w:p>
    <w:p>
      <w:pPr>
        <w:pStyle w:val="3"/>
        <w:spacing w:line="277" w:lineRule="auto"/>
      </w:pPr>
    </w:p>
    <w:p>
      <w:pPr>
        <w:spacing w:before="101" w:line="296" w:lineRule="auto"/>
        <w:ind w:left="2" w:right="27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十二、商品和服务支出（支出经济分类科目类级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）：</w:t>
      </w:r>
      <w:r>
        <w:rPr>
          <w:rFonts w:ascii="仿宋" w:hAnsi="仿宋" w:eastAsia="仿宋" w:cs="仿宋"/>
          <w:spacing w:val="18"/>
          <w:sz w:val="31"/>
          <w:szCs w:val="31"/>
        </w:rPr>
        <w:t>反映单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位购买商品和服务的支出（不包括用于购置固定资产的支出、战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略性和应急储备支出）。</w:t>
      </w:r>
    </w:p>
    <w:p>
      <w:pPr>
        <w:spacing w:line="296" w:lineRule="auto"/>
        <w:sectPr>
          <w:footerReference r:id="rId15" w:type="default"/>
          <w:pgSz w:w="11910" w:h="16840"/>
          <w:pgMar w:top="1431" w:right="1020" w:bottom="1133" w:left="1365" w:header="0" w:footer="953" w:gutter="0"/>
          <w:cols w:space="720" w:num="1"/>
        </w:sectPr>
      </w:pPr>
    </w:p>
    <w:p>
      <w:pPr>
        <w:spacing w:before="301" w:line="495" w:lineRule="exact"/>
        <w:ind w:left="107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第四部分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预算公开联系方式及信息反馈渠道</w:t>
      </w:r>
    </w:p>
    <w:p>
      <w:pPr>
        <w:pStyle w:val="3"/>
        <w:spacing w:line="327" w:lineRule="auto"/>
      </w:pPr>
    </w:p>
    <w:p>
      <w:pPr>
        <w:pStyle w:val="3"/>
        <w:spacing w:line="327" w:lineRule="auto"/>
      </w:pPr>
    </w:p>
    <w:p>
      <w:pPr>
        <w:spacing w:before="101" w:line="221" w:lineRule="auto"/>
        <w:ind w:left="4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本单位预算公开信息反馈和联系方式：</w:t>
      </w:r>
    </w:p>
    <w:p>
      <w:pPr>
        <w:spacing w:before="229" w:line="223" w:lineRule="auto"/>
        <w:ind w:left="4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联系人：王燕               联系电话：13947399087</w:t>
      </w:r>
    </w:p>
    <w:p>
      <w:pPr>
        <w:pStyle w:val="3"/>
        <w:spacing w:line="277" w:lineRule="auto"/>
      </w:pPr>
    </w:p>
    <w:p>
      <w:pPr>
        <w:pStyle w:val="3"/>
        <w:spacing w:line="277" w:lineRule="auto"/>
      </w:pPr>
    </w:p>
    <w:p>
      <w:pPr>
        <w:pStyle w:val="3"/>
        <w:spacing w:line="278" w:lineRule="auto"/>
      </w:pPr>
    </w:p>
    <w:p>
      <w:pPr>
        <w:pStyle w:val="3"/>
        <w:spacing w:line="278" w:lineRule="auto"/>
      </w:pPr>
    </w:p>
    <w:p>
      <w:pPr>
        <w:pStyle w:val="3"/>
        <w:spacing w:line="278" w:lineRule="auto"/>
      </w:pPr>
    </w:p>
    <w:p>
      <w:pPr>
        <w:pStyle w:val="3"/>
        <w:spacing w:line="278" w:lineRule="auto"/>
      </w:pPr>
    </w:p>
    <w:p>
      <w:pPr>
        <w:spacing w:before="114" w:line="223" w:lineRule="auto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第五部分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2023年度锡林郭勒盟审计局综合保障中心预算表</w:t>
      </w:r>
    </w:p>
    <w:p>
      <w:pPr>
        <w:spacing w:line="223" w:lineRule="auto"/>
        <w:sectPr>
          <w:footerReference r:id="rId16" w:type="default"/>
          <w:pgSz w:w="11910" w:h="16840"/>
          <w:pgMar w:top="1431" w:right="1020" w:bottom="1133" w:left="1481" w:header="0" w:footer="953" w:gutter="0"/>
          <w:cols w:space="720" w:num="1"/>
        </w:sectPr>
      </w:pPr>
    </w:p>
    <w:p>
      <w:pPr>
        <w:spacing w:line="13708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274"/>
          <w:sz w:val="21"/>
          <w:szCs w:val="21"/>
          <w:lang w:val="en-US" w:eastAsia="en-US" w:bidi="ar-SA"/>
        </w:rPr>
        <w:pict>
          <v:shape id="图片框 1032" o:spid="_x0000_s1032" type="#_x0000_t75" style="height:685.4pt;width:464pt;rotation:0f;" o:ole="f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13708" w:lineRule="exact"/>
        <w:sectPr>
          <w:footerReference r:id="rId17" w:type="default"/>
          <w:pgSz w:w="11906" w:h="16839"/>
          <w:pgMar w:top="1187" w:right="1078" w:bottom="1404" w:left="1372" w:header="0" w:footer="1225" w:gutter="0"/>
          <w:cols w:space="720" w:num="1"/>
        </w:sectPr>
      </w:pPr>
    </w:p>
    <w:p>
      <w:pPr>
        <w:spacing w:before="185" w:line="1750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34"/>
          <w:sz w:val="21"/>
          <w:szCs w:val="21"/>
          <w:lang w:val="en-US" w:eastAsia="en-US" w:bidi="ar-SA"/>
        </w:rPr>
        <w:pict>
          <v:shape id="图片框 1033" o:spid="_x0000_s1033" type="#_x0000_t75" style="height:87.45pt;width:697.2pt;rotation:0f;" o:ole="f" fillcolor="#FFFFFF" filled="f" o:preferrelative="t" stroked="f" coordorigin="0,0" coordsize="21600,21600">
            <v:fill on="f" color2="#FFFFFF" focus="0%"/>
            <v:imagedata gain="65536f" blacklevel="0f" gamma="0" o:title="" r:id="rId3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1750" w:lineRule="exact"/>
        <w:sectPr>
          <w:footerReference r:id="rId18" w:type="default"/>
          <w:pgSz w:w="16839" w:h="11906"/>
          <w:pgMar w:top="1012" w:right="1438" w:bottom="1404" w:left="1440" w:header="0" w:footer="1225" w:gutter="0"/>
          <w:cols w:space="720" w:num="1"/>
        </w:sectPr>
      </w:pPr>
    </w:p>
    <w:p>
      <w:pPr>
        <w:pStyle w:val="3"/>
        <w:spacing w:line="244" w:lineRule="auto"/>
      </w:pPr>
    </w:p>
    <w:p>
      <w:pPr>
        <w:spacing w:line="9117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182"/>
          <w:sz w:val="21"/>
          <w:szCs w:val="21"/>
          <w:lang w:val="en-US" w:eastAsia="en-US" w:bidi="ar-SA"/>
        </w:rPr>
        <w:pict>
          <v:shape id="图片框 1034" o:spid="_x0000_s1034" type="#_x0000_t75" style="height:455.85pt;width:69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3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9117" w:lineRule="exact"/>
        <w:sectPr>
          <w:footerReference r:id="rId19" w:type="default"/>
          <w:pgSz w:w="16839" w:h="11906"/>
          <w:pgMar w:top="1012" w:right="1438" w:bottom="1404" w:left="1440" w:header="0" w:footer="1225" w:gutter="0"/>
          <w:cols w:space="720" w:num="1"/>
        </w:sectPr>
      </w:pPr>
    </w:p>
    <w:p>
      <w:pPr>
        <w:pStyle w:val="3"/>
        <w:spacing w:line="297" w:lineRule="auto"/>
      </w:pPr>
    </w:p>
    <w:p>
      <w:pPr>
        <w:spacing w:line="12775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255"/>
          <w:sz w:val="21"/>
          <w:szCs w:val="21"/>
          <w:lang w:val="en-US" w:eastAsia="en-US" w:bidi="ar-SA"/>
        </w:rPr>
        <w:pict>
          <v:shape id="图片框 1035" o:spid="_x0000_s1035" type="#_x0000_t75" style="height:638.75pt;width:399pt;rotation:0f;" o:ole="f" fillcolor="#FFFFFF" filled="f" o:preferrelative="t" stroked="f" coordorigin="0,0" coordsize="21600,21600">
            <v:fill on="f" color2="#FFFFFF" focus="0%"/>
            <v:imagedata gain="65536f" blacklevel="0f" gamma="0" o:title="" r:id="rId3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12775" w:lineRule="exact"/>
        <w:sectPr>
          <w:footerReference r:id="rId20" w:type="default"/>
          <w:pgSz w:w="11906" w:h="16839"/>
          <w:pgMar w:top="1431" w:right="1080" w:bottom="1404" w:left="1756" w:header="0" w:footer="1225" w:gutter="0"/>
          <w:cols w:space="720" w:num="1"/>
        </w:sectPr>
      </w:pPr>
    </w:p>
    <w:p>
      <w:pPr>
        <w:spacing w:before="154" w:line="8676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173"/>
          <w:sz w:val="21"/>
          <w:szCs w:val="21"/>
          <w:lang w:val="en-US" w:eastAsia="en-US" w:bidi="ar-SA"/>
        </w:rPr>
        <w:pict>
          <v:shape id="图片框 1036" o:spid="_x0000_s1036" type="#_x0000_t75" style="height:433.75pt;width:696.7pt;rotation:0f;" o:ole="f" fillcolor="#FFFFFF" filled="f" o:preferrelative="t" stroked="f" coordorigin="0,0" coordsize="21600,21600">
            <v:fill on="f" color2="#FFFFFF" focus="0%"/>
            <v:imagedata gain="65536f" blacklevel="0f" gamma="0" o:title="" r:id="rId3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8676" w:lineRule="exact"/>
        <w:sectPr>
          <w:footerReference r:id="rId21" w:type="default"/>
          <w:pgSz w:w="16839" w:h="11906"/>
          <w:pgMar w:top="1012" w:right="1438" w:bottom="1404" w:left="1440" w:header="0" w:footer="1225" w:gutter="0"/>
          <w:cols w:space="720" w:num="1"/>
        </w:sectPr>
      </w:pPr>
    </w:p>
    <w:p>
      <w:pPr>
        <w:spacing w:before="126" w:line="12554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251"/>
          <w:sz w:val="21"/>
          <w:szCs w:val="21"/>
          <w:lang w:val="en-US" w:eastAsia="en-US" w:bidi="ar-SA"/>
        </w:rPr>
        <w:pict>
          <v:shape id="图片框 1037" o:spid="_x0000_s1037" type="#_x0000_t75" style="height:627.7pt;width:486.8pt;rotation:0f;" o:ole="f" fillcolor="#FFFFFF" filled="f" o:preferrelative="t" stroked="f" coordorigin="0,0" coordsize="21600,21600">
            <v:fill on="f" color2="#FFFFFF" focus="0%"/>
            <v:imagedata gain="65536f" blacklevel="0f" gamma="0" o:title="" r:id="rId3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12554" w:lineRule="exact"/>
        <w:sectPr>
          <w:footerReference r:id="rId22" w:type="default"/>
          <w:pgSz w:w="11906" w:h="16839"/>
          <w:pgMar w:top="1431" w:right="1080" w:bottom="1404" w:left="1082" w:header="0" w:footer="1225" w:gutter="0"/>
          <w:cols w:space="720" w:num="1"/>
        </w:sectPr>
      </w:pPr>
    </w:p>
    <w:p>
      <w:pPr>
        <w:pStyle w:val="3"/>
        <w:spacing w:line="251" w:lineRule="auto"/>
      </w:pPr>
    </w:p>
    <w:p>
      <w:pPr>
        <w:spacing w:line="2551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51"/>
          <w:sz w:val="21"/>
          <w:szCs w:val="21"/>
          <w:lang w:val="en-US" w:eastAsia="en-US" w:bidi="ar-SA"/>
        </w:rPr>
        <w:pict>
          <v:shape id="图片框 1038" o:spid="_x0000_s1038" type="#_x0000_t75" style="height:127.55pt;width:697.9pt;rotation:0f;" o:ole="f" fillcolor="#FFFFFF" filled="f" o:preferrelative="t" stroked="f" coordorigin="0,0" coordsize="21600,21600">
            <v:fill on="f" color2="#FFFFFF" focus="0%"/>
            <v:imagedata gain="65536f" blacklevel="0f" gamma="0" o:title="" r:id="rId3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551" w:lineRule="exact"/>
        <w:sectPr>
          <w:footerReference r:id="rId23" w:type="default"/>
          <w:pgSz w:w="16839" w:h="11906"/>
          <w:pgMar w:top="1012" w:right="1438" w:bottom="1403" w:left="1440" w:header="0" w:footer="1225" w:gutter="0"/>
          <w:cols w:space="720" w:num="1"/>
        </w:sectPr>
      </w:pPr>
    </w:p>
    <w:p>
      <w:pPr>
        <w:spacing w:before="163" w:line="4292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85"/>
          <w:sz w:val="21"/>
          <w:szCs w:val="21"/>
          <w:lang w:val="en-US" w:eastAsia="en-US" w:bidi="ar-SA"/>
        </w:rPr>
        <w:pict>
          <v:shape id="图片框 1039" o:spid="_x0000_s1039" type="#_x0000_t75" style="height:214.55pt;width:697.2pt;rotation:0f;" o:ole="f" fillcolor="#FFFFFF" filled="f" o:preferrelative="t" stroked="f" coordorigin="0,0" coordsize="21600,21600">
            <v:fill on="f" color2="#FFFFFF" focus="0%"/>
            <v:imagedata gain="65536f" blacklevel="0f" gamma="0" o:title="" r:id="rId3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292" w:lineRule="exact"/>
        <w:sectPr>
          <w:footerReference r:id="rId24" w:type="default"/>
          <w:pgSz w:w="16839" w:h="11906"/>
          <w:pgMar w:top="1012" w:right="1438" w:bottom="1403" w:left="1440" w:header="0" w:footer="1225" w:gutter="0"/>
          <w:cols w:space="720" w:num="1"/>
        </w:sectPr>
      </w:pPr>
    </w:p>
    <w:p>
      <w:pPr>
        <w:pStyle w:val="3"/>
        <w:spacing w:line="241" w:lineRule="auto"/>
      </w:pPr>
    </w:p>
    <w:p>
      <w:pPr>
        <w:spacing w:line="4131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82"/>
          <w:sz w:val="21"/>
          <w:szCs w:val="21"/>
          <w:lang w:val="en-US" w:eastAsia="en-US" w:bidi="ar-SA"/>
        </w:rPr>
        <w:pict>
          <v:shape id="图片框 1040" o:spid="_x0000_s1040" type="#_x0000_t75" style="height:206.5pt;width:697.2pt;rotation:0f;" o:ole="f" fillcolor="#FFFFFF" filled="f" o:preferrelative="t" stroked="f" coordorigin="0,0" coordsize="21600,21600">
            <v:fill on="f" color2="#FFFFFF" focus="0%"/>
            <v:imagedata gain="65536f" blacklevel="0f" gamma="0" o:title="" r:id="rId4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131" w:lineRule="exact"/>
        <w:sectPr>
          <w:footerReference r:id="rId25" w:type="default"/>
          <w:pgSz w:w="16839" w:h="11906"/>
          <w:pgMar w:top="1012" w:right="1438" w:bottom="1403" w:left="1440" w:header="0" w:footer="1225" w:gutter="0"/>
          <w:cols w:space="720" w:num="1"/>
        </w:sectPr>
      </w:pPr>
    </w:p>
    <w:p>
      <w:pPr>
        <w:spacing w:before="175" w:line="1767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35"/>
          <w:sz w:val="21"/>
          <w:szCs w:val="21"/>
          <w:lang w:val="en-US" w:eastAsia="en-US" w:bidi="ar-SA"/>
        </w:rPr>
        <w:pict>
          <v:shape id="图片框 1041" o:spid="_x0000_s1041" type="#_x0000_t75" style="height:88.3pt;width:696.45pt;rotation:0f;" o:ole="f" fillcolor="#FFFFFF" filled="f" o:preferrelative="t" stroked="f" coordorigin="0,0" coordsize="21600,21600">
            <v:fill on="f" color2="#FFFFFF" focus="0%"/>
            <v:imagedata gain="65536f" blacklevel="0f" gamma="0" o:title="" r:id="rId4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1767" w:lineRule="exact"/>
        <w:sectPr>
          <w:footerReference r:id="rId26" w:type="default"/>
          <w:pgSz w:w="16839" w:h="11906"/>
          <w:pgMar w:top="1012" w:right="1438" w:bottom="1403" w:left="1440" w:header="0" w:footer="1225" w:gutter="0"/>
          <w:cols w:space="720" w:num="1"/>
        </w:sectPr>
      </w:pPr>
    </w:p>
    <w:p>
      <w:pPr>
        <w:pStyle w:val="3"/>
        <w:spacing w:line="241" w:lineRule="auto"/>
      </w:pPr>
    </w:p>
    <w:p>
      <w:pPr>
        <w:spacing w:line="3504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70"/>
          <w:sz w:val="21"/>
          <w:szCs w:val="21"/>
          <w:lang w:val="en-US" w:eastAsia="en-US" w:bidi="ar-SA"/>
        </w:rPr>
        <w:pict>
          <v:shape id="图片框 1042" o:spid="_x0000_s1042" type="#_x0000_t75" style="height:175.15pt;width:696.55pt;rotation:0f;" o:ole="f" fillcolor="#FFFFFF" filled="f" o:preferrelative="t" stroked="f" coordorigin="0,0" coordsize="21600,21600">
            <v:fill on="f" color2="#FFFFFF" focus="0%"/>
            <v:imagedata gain="65536f" blacklevel="0f" gamma="0" o:title="" r:id="rId4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504" w:lineRule="exact"/>
        <w:sectPr>
          <w:footerReference r:id="rId27" w:type="default"/>
          <w:pgSz w:w="16839" w:h="11906"/>
          <w:pgMar w:top="1012" w:right="1438" w:bottom="1403" w:left="1440" w:header="0" w:footer="1225" w:gutter="0"/>
          <w:cols w:space="720" w:num="1"/>
        </w:sectPr>
      </w:pPr>
    </w:p>
    <w:p>
      <w:pPr>
        <w:spacing w:before="171" w:line="1776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35"/>
          <w:sz w:val="21"/>
          <w:szCs w:val="21"/>
          <w:lang w:val="en-US" w:eastAsia="en-US" w:bidi="ar-SA"/>
        </w:rPr>
        <w:pict>
          <v:shape id="图片框 1043" o:spid="_x0000_s1043" type="#_x0000_t75" style="height:88.8pt;width:697.55pt;rotation:0f;" o:ole="f" fillcolor="#FFFFFF" filled="f" o:preferrelative="t" stroked="f" coordorigin="0,0" coordsize="21600,21600">
            <v:fill on="f" color2="#FFFFFF" focus="0%"/>
            <v:imagedata gain="65536f" blacklevel="0f" gamma="0" o:title="" r:id="rId43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footerReference r:id="rId28" w:type="default"/>
      <w:pgSz w:w="16839" w:h="11906"/>
      <w:pgMar w:top="1012" w:right="1438" w:bottom="1403" w:left="1440" w:header="0" w:footer="12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Toman">
    <w:altName w:val="Times New Roman"/>
    <w:panose1 w:val="02020603050405020304"/>
    <w:charset w:val="00"/>
    <w:family w:val="auto"/>
    <w:pitch w:val="default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00" w:lineRule="auto"/>
      <w:rPr>
        <w:sz w:val="2"/>
      </w:rPr>
    </w:pPr>
    <w: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en-US" w:bidi="ar-SA"/>
      </w:rPr>
      <w:pict>
        <v:shape id="_x0000_s2050" o:spid="_x0000_s1029" type="" style="position:absolute;left:0;margin-left:62pt;margin-top:799pt;height:0.5pt;width:482.5pt;mso-position-horizontal-relative:page;mso-position-vertical-relative:page;rotation:0f;z-index:251659264;" o:ole="f" fillcolor="#FFFFFF" filled="t" o:preferrelative="t" stroked="f" coordorigin="0,0" coordsize="9650,10" o:allowincell="f" path="m0,0l9650,0,9650,9,0,9,0,0xe">
          <v:imagedata gain="65536f" blacklevel="0f" gamma="0"/>
          <o:lock v:ext="edit" position="f" selection="f" grouping="f" rotation="f" cropping="f" text="f" aspectratio="f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15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16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20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-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3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23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24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25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26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27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-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-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5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6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-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7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8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9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00" w:lineRule="auto"/>
      <w:rPr>
        <w:sz w:val="2"/>
      </w:rPr>
    </w:pPr>
    <w: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en-US" w:bidi="ar-SA"/>
      </w:rPr>
      <w:pict>
        <v:shape id="_x0000_s2049" o:spid="_x0000_s1028" type="" style="position:absolute;left:0;margin-left:62pt;margin-top:793.5pt;height:0.5pt;width:482.5pt;mso-position-horizontal-relative:page;mso-position-vertical-relative:page;rotation:0f;z-index:251658240;" o:ole="f" fillcolor="#FFFFFF" filled="t" o:preferrelative="t" stroked="f" coordorigin="0,0" coordsize="9650,10" o:allowincell="f" path="m0,0l9650,0,9650,9,0,9,0,0xe">
          <v:imagedata gain="65536f" blacklevel="0f" gamma="0"/>
          <o:lock v:ext="edit" position="f" selection="f" grouping="f" rotation="f" cropping="f" text="f" aspectratio="f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style w:type="paragraph" w:default="1" w:styleId="1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</w:style>
  <w:style w:type="paragraph" w:styleId="2">
    <w:name w:val="annotation text"/>
    <w:basedOn w:val="1"/>
    <w:pPr>
      <w:jc w:val="left"/>
    </w:pPr>
  </w:style>
  <w:style w:type="paragraph" w:styleId="3">
    <w:name w:val="Body Text"/>
    <w:basedOn w:val="1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footer" Target="footer13.xml"/><Relationship Id="rId17" Type="http://schemas.openxmlformats.org/officeDocument/2006/relationships/footer" Target="footer14.xml"/><Relationship Id="rId18" Type="http://schemas.openxmlformats.org/officeDocument/2006/relationships/footer" Target="footer15.xml"/><Relationship Id="rId19" Type="http://schemas.openxmlformats.org/officeDocument/2006/relationships/footer" Target="footer16.xml"/><Relationship Id="rId2" Type="http://schemas.openxmlformats.org/officeDocument/2006/relationships/styles" Target="styles.xml"/><Relationship Id="rId20" Type="http://schemas.openxmlformats.org/officeDocument/2006/relationships/footer" Target="footer17.xml"/><Relationship Id="rId21" Type="http://schemas.openxmlformats.org/officeDocument/2006/relationships/footer" Target="footer18.xml"/><Relationship Id="rId22" Type="http://schemas.openxmlformats.org/officeDocument/2006/relationships/footer" Target="footer19.xml"/><Relationship Id="rId23" Type="http://schemas.openxmlformats.org/officeDocument/2006/relationships/footer" Target="footer20.xml"/><Relationship Id="rId24" Type="http://schemas.openxmlformats.org/officeDocument/2006/relationships/footer" Target="footer21.xml"/><Relationship Id="rId25" Type="http://schemas.openxmlformats.org/officeDocument/2006/relationships/footer" Target="footer22.xml"/><Relationship Id="rId26" Type="http://schemas.openxmlformats.org/officeDocument/2006/relationships/footer" Target="footer23.xml"/><Relationship Id="rId27" Type="http://schemas.openxmlformats.org/officeDocument/2006/relationships/footer" Target="footer24.xml"/><Relationship Id="rId28" Type="http://schemas.openxmlformats.org/officeDocument/2006/relationships/footer" Target="footer25.xml"/><Relationship Id="rId29" Type="http://schemas.openxmlformats.org/officeDocument/2006/relationships/theme" Target="theme/theme1.xml"/><Relationship Id="rId3" Type="http://schemas.openxmlformats.org/officeDocument/2006/relationships/settings" Target="settings.xml"/><Relationship Id="rId30" Type="http://schemas.openxmlformats.org/officeDocument/2006/relationships/image" Target="media/image1.png"/><Relationship Id="rId31" Type="http://schemas.openxmlformats.org/officeDocument/2006/relationships/image" Target="media/image2.png"/><Relationship Id="rId32" Type="http://schemas.openxmlformats.org/officeDocument/2006/relationships/image" Target="media/image3.png"/><Relationship Id="rId33" Type="http://schemas.openxmlformats.org/officeDocument/2006/relationships/image" Target="media/image4.png"/><Relationship Id="rId34" Type="http://schemas.openxmlformats.org/officeDocument/2006/relationships/image" Target="media/image5.png"/><Relationship Id="rId35" Type="http://schemas.openxmlformats.org/officeDocument/2006/relationships/image" Target="media/image6.png"/><Relationship Id="rId36" Type="http://schemas.openxmlformats.org/officeDocument/2006/relationships/image" Target="media/image7.png"/><Relationship Id="rId37" Type="http://schemas.openxmlformats.org/officeDocument/2006/relationships/image" Target="media/image8.png"/><Relationship Id="rId38" Type="http://schemas.openxmlformats.org/officeDocument/2006/relationships/image" Target="media/image9.png"/><Relationship Id="rId39" Type="http://schemas.openxmlformats.org/officeDocument/2006/relationships/image" Target="media/image10.png"/><Relationship Id="rId4" Type="http://schemas.openxmlformats.org/officeDocument/2006/relationships/footer" Target="footer1.xml"/><Relationship Id="rId40" Type="http://schemas.openxmlformats.org/officeDocument/2006/relationships/image" Target="media/image11.png"/><Relationship Id="rId41" Type="http://schemas.openxmlformats.org/officeDocument/2006/relationships/image" Target="media/image12.png"/><Relationship Id="rId42" Type="http://schemas.openxmlformats.org/officeDocument/2006/relationships/image" Target="media/image13.png"/><Relationship Id="rId43" Type="http://schemas.openxmlformats.org/officeDocument/2006/relationships/image" Target="media/image14.png"/><Relationship Id="rId44" Type="http://schemas.openxmlformats.org/officeDocument/2006/relationships/customXml" Target="../customXml/item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2023-05-10T16:50:00Z</dcterms:created>
  <dc:creator>bhs</dc:creator>
  <dcterms:modified xsi:type="dcterms:W3CDTF">2024-06-27T18:37:35Z</dcterms:modified>
  <dc:title>Deer.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2024-06-21T21:28:00Z</vt:filetime>
  </property>
  <property fmtid="{D5CDD505-2E9C-101B-9397-08002B2CF9AE}" pid="4" name="KSOProductBuildVer">
    <vt:lpwstr>2052-9.1.0.4180</vt:lpwstr>
  </property>
  <property fmtid="{D5CDD505-2E9C-101B-9397-08002B2CF9AE}" pid="5" name="ICV">
    <vt:lpwstr>C2A05924B31E4BFD8229E8F7F32490DC_12</vt:lpwstr>
  </property>
</Properties>
</file>